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85645642"/>
        <w:docPartObj>
          <w:docPartGallery w:val="Cover Pages"/>
          <w:docPartUnique/>
        </w:docPartObj>
      </w:sdtPr>
      <w:sdtEndPr>
        <w:rPr>
          <w:noProof/>
        </w:rPr>
      </w:sdtEndPr>
      <w:sdtContent>
        <w:p w14:paraId="49B53595" w14:textId="73FC0389" w:rsidR="00604EEF" w:rsidRPr="00917BE3" w:rsidRDefault="00917BE3" w:rsidP="00917BE3">
          <w:r>
            <w:rPr>
              <w:noProof/>
            </w:rPr>
            <w:drawing>
              <wp:anchor distT="0" distB="0" distL="114300" distR="114300" simplePos="0" relativeHeight="251658240" behindDoc="1" locked="0" layoutInCell="1" allowOverlap="1" wp14:anchorId="26209E39" wp14:editId="52A6DDAA">
                <wp:simplePos x="0" y="0"/>
                <wp:positionH relativeFrom="page">
                  <wp:align>right</wp:align>
                </wp:positionH>
                <wp:positionV relativeFrom="paragraph">
                  <wp:posOffset>-900430</wp:posOffset>
                </wp:positionV>
                <wp:extent cx="7550201" cy="10679882"/>
                <wp:effectExtent l="0" t="0" r="0"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0201" cy="10679882"/>
                        </a:xfrm>
                        <a:prstGeom prst="rect">
                          <a:avLst/>
                        </a:prstGeom>
                      </pic:spPr>
                    </pic:pic>
                  </a:graphicData>
                </a:graphic>
                <wp14:sizeRelH relativeFrom="page">
                  <wp14:pctWidth>0</wp14:pctWidth>
                </wp14:sizeRelH>
                <wp14:sizeRelV relativeFrom="page">
                  <wp14:pctHeight>0</wp14:pctHeight>
                </wp14:sizeRelV>
              </wp:anchor>
            </w:drawing>
          </w:r>
        </w:p>
        <w:p w14:paraId="47D56C7F" w14:textId="3B9F0410" w:rsidR="00604EEF" w:rsidRDefault="00604EEF">
          <w:pPr>
            <w:spacing w:before="0" w:after="160" w:line="259" w:lineRule="auto"/>
            <w:rPr>
              <w:noProof/>
            </w:rPr>
          </w:pPr>
          <w:r>
            <w:rPr>
              <w:noProof/>
            </w:rPr>
            <w:br w:type="page"/>
          </w:r>
        </w:p>
      </w:sdtContent>
    </w:sdt>
    <w:p w14:paraId="61B01608" w14:textId="38448B57" w:rsidR="000E0B74" w:rsidRDefault="000E0B74" w:rsidP="005877AC">
      <w:pPr>
        <w:spacing w:before="0" w:after="160" w:line="259" w:lineRule="auto"/>
      </w:pPr>
      <w:r w:rsidRPr="00661BF0">
        <w:lastRenderedPageBreak/>
        <w:t xml:space="preserve">© Commonwealth of Australia </w:t>
      </w:r>
      <w:r w:rsidRPr="00BB6ABE">
        <w:t>20</w:t>
      </w:r>
      <w:r w:rsidR="006564D3" w:rsidRPr="00BB6ABE">
        <w:t>2</w:t>
      </w:r>
      <w:r w:rsidR="00BB6ABE" w:rsidRPr="00BB6ABE">
        <w:t>2</w:t>
      </w:r>
    </w:p>
    <w:p w14:paraId="38A25D93" w14:textId="66C7AFD9" w:rsidR="00710039" w:rsidRDefault="00710039" w:rsidP="00710039">
      <w:r w:rsidRPr="00710039">
        <w:t>ISSN 2653</w:t>
      </w:r>
      <w:r w:rsidR="003E7DEA">
        <w:noBreakHyphen/>
      </w:r>
      <w:r w:rsidRPr="00710039">
        <w:t>7133</w:t>
      </w:r>
    </w:p>
    <w:p w14:paraId="3B4A1F34" w14:textId="4FA555E3" w:rsidR="000E0B74" w:rsidRDefault="000E0B74" w:rsidP="000E0B74">
      <w:pPr>
        <w:tabs>
          <w:tab w:val="left" w:pos="1650"/>
        </w:tabs>
        <w:spacing w:before="240"/>
        <w:rPr>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5"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259BCFC1" w14:textId="77777777" w:rsidR="000E0B74" w:rsidRDefault="000E0B74" w:rsidP="000E0B74">
      <w:pPr>
        <w:pStyle w:val="ChartGraphic"/>
        <w:jc w:val="left"/>
      </w:pPr>
      <w:r w:rsidRPr="00E56DFB">
        <w:rPr>
          <w:noProof/>
          <w:lang w:eastAsia="zh-CN"/>
        </w:rPr>
        <w:drawing>
          <wp:inline distT="0" distB="0" distL="0" distR="0" wp14:anchorId="03E4D171" wp14:editId="7C43961E">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57DEBFD"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2AD330B0" w14:textId="02D8A747" w:rsidR="000E0B74" w:rsidRPr="002F1BC2" w:rsidRDefault="000E0B74" w:rsidP="000E0B74">
      <w:pPr>
        <w:ind w:left="709"/>
        <w:rPr>
          <w:i/>
        </w:rPr>
      </w:pPr>
      <w:r w:rsidRPr="002F1BC2">
        <w:rPr>
          <w:i/>
        </w:rPr>
        <w:t xml:space="preserve">Treasury material used </w:t>
      </w:r>
      <w:r w:rsidR="003E7DEA">
        <w:rPr>
          <w:i/>
        </w:rPr>
        <w:t>‘</w:t>
      </w:r>
      <w:r w:rsidRPr="002F1BC2">
        <w:rPr>
          <w:i/>
        </w:rPr>
        <w:t>as supplied</w:t>
      </w:r>
      <w:r w:rsidR="003E7DEA">
        <w:rPr>
          <w:i/>
        </w:rPr>
        <w:t>’</w:t>
      </w:r>
      <w:r>
        <w:rPr>
          <w:i/>
        </w:rPr>
        <w:t>.</w:t>
      </w:r>
    </w:p>
    <w:p w14:paraId="02FF995F" w14:textId="616EBECD"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rsidR="003E7DEA">
        <w:t xml:space="preserve"> – </w:t>
      </w:r>
      <w:r>
        <w:t>then Treasury prefers t</w:t>
      </w:r>
      <w:r w:rsidRPr="00476F09">
        <w:t xml:space="preserve">he following attribution: </w:t>
      </w:r>
    </w:p>
    <w:p w14:paraId="22AB854A" w14:textId="41DA82D8" w:rsidR="000E0B74" w:rsidRPr="00A13A11" w:rsidRDefault="000E0B74" w:rsidP="000E0B74">
      <w:pPr>
        <w:ind w:firstLine="720"/>
      </w:pPr>
      <w:r w:rsidRPr="002F1BC2">
        <w:rPr>
          <w:i/>
        </w:rPr>
        <w:t xml:space="preserve">Source: The </w:t>
      </w:r>
      <w:r w:rsidRPr="002F1BC2">
        <w:rPr>
          <w:i/>
          <w:iCs/>
        </w:rPr>
        <w:t xml:space="preserve">Australian Government the Treasury </w:t>
      </w:r>
    </w:p>
    <w:p w14:paraId="29252F12" w14:textId="77777777" w:rsidR="000E0B74" w:rsidRPr="006627B4" w:rsidRDefault="000E0B74" w:rsidP="000E0B74">
      <w:pPr>
        <w:spacing w:before="240"/>
      </w:pPr>
      <w:r w:rsidRPr="00CC63CC">
        <w:rPr>
          <w:b/>
        </w:rPr>
        <w:t>Derivative</w:t>
      </w:r>
      <w:r w:rsidRPr="006627B4">
        <w:t xml:space="preserve"> </w:t>
      </w:r>
      <w:r w:rsidRPr="00CC63CC">
        <w:rPr>
          <w:b/>
        </w:rPr>
        <w:t>material</w:t>
      </w:r>
    </w:p>
    <w:p w14:paraId="128B7F16"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0C9735A7" w14:textId="200FC785" w:rsidR="000E0B74" w:rsidRPr="006627B4" w:rsidRDefault="000E0B74" w:rsidP="00755B3B">
      <w:pPr>
        <w:ind w:left="720"/>
      </w:pPr>
      <w:r w:rsidRPr="002F1BC2">
        <w:rPr>
          <w:i/>
        </w:rPr>
        <w:t>Based on The Australian Government the Treasury data</w:t>
      </w:r>
      <w:r w:rsidRPr="006627B4">
        <w:t xml:space="preserve"> </w:t>
      </w:r>
      <w:r w:rsidR="00755B3B">
        <w:t>Food and Grocery Independent Reviewer 2022 Annual Report.</w:t>
      </w:r>
    </w:p>
    <w:p w14:paraId="1FF20629" w14:textId="77777777" w:rsidR="000E0B74" w:rsidRPr="006627B4" w:rsidRDefault="000E0B74" w:rsidP="000E0B74">
      <w:pPr>
        <w:spacing w:before="240"/>
        <w:rPr>
          <w:b/>
        </w:rPr>
      </w:pPr>
      <w:r w:rsidRPr="006627B4">
        <w:rPr>
          <w:b/>
        </w:rPr>
        <w:t>Use of the Coat of Arms</w:t>
      </w:r>
    </w:p>
    <w:p w14:paraId="22E3191B" w14:textId="47CD4673"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8" w:history="1">
        <w:r w:rsidRPr="005C503A">
          <w:rPr>
            <w:rStyle w:val="Hyperlink"/>
          </w:rPr>
          <w:t>www.pmc.gov.au/government/commonwealth</w:t>
        </w:r>
        <w:r w:rsidR="003E7DEA">
          <w:rPr>
            <w:rStyle w:val="Hyperlink"/>
          </w:rPr>
          <w:noBreakHyphen/>
        </w:r>
        <w:r w:rsidRPr="005C503A">
          <w:rPr>
            <w:rStyle w:val="Hyperlink"/>
          </w:rPr>
          <w:t>coat</w:t>
        </w:r>
        <w:r w:rsidR="003E7DEA">
          <w:rPr>
            <w:rStyle w:val="Hyperlink"/>
          </w:rPr>
          <w:noBreakHyphen/>
        </w:r>
        <w:r w:rsidRPr="005C503A">
          <w:rPr>
            <w:rStyle w:val="Hyperlink"/>
          </w:rPr>
          <w:t>arm</w:t>
        </w:r>
      </w:hyperlink>
      <w:r w:rsidRPr="005C503A">
        <w:t>s).</w:t>
      </w:r>
    </w:p>
    <w:p w14:paraId="7D46DBD9" w14:textId="77777777" w:rsidR="000E0B74" w:rsidRPr="006627B4" w:rsidRDefault="000E0B74" w:rsidP="000E0B74">
      <w:pPr>
        <w:spacing w:before="240"/>
        <w:rPr>
          <w:b/>
        </w:rPr>
      </w:pPr>
      <w:r>
        <w:rPr>
          <w:b/>
        </w:rPr>
        <w:t>Other u</w:t>
      </w:r>
      <w:r w:rsidRPr="006627B4">
        <w:rPr>
          <w:b/>
        </w:rPr>
        <w:t>ses</w:t>
      </w:r>
    </w:p>
    <w:p w14:paraId="226D1922" w14:textId="77777777" w:rsidR="000E0B74" w:rsidRPr="006627B4" w:rsidRDefault="000E0B74" w:rsidP="000E0B74">
      <w:r>
        <w:t>E</w:t>
      </w:r>
      <w:r w:rsidRPr="006627B4">
        <w:t>nquiries regarding this licence and any other use of this document are welcome at:</w:t>
      </w:r>
    </w:p>
    <w:p w14:paraId="4E69E639" w14:textId="77777777" w:rsidR="000E0B74" w:rsidRPr="002F1BC2" w:rsidRDefault="000E0B74" w:rsidP="000E0B74">
      <w:pPr>
        <w:ind w:left="720"/>
        <w:rPr>
          <w:rStyle w:val="Hyperlink"/>
        </w:rPr>
      </w:pPr>
      <w:r w:rsidRPr="006627B4">
        <w:t>Manager</w:t>
      </w:r>
      <w:r w:rsidR="00A72960">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9" w:history="1">
        <w:r w:rsidR="00FF447A" w:rsidRPr="000951A5">
          <w:rPr>
            <w:rStyle w:val="Hyperlink"/>
          </w:rPr>
          <w:t>media@treasury.gov.au</w:t>
        </w:r>
      </w:hyperlink>
      <w:r w:rsidR="00FF447A">
        <w:rPr>
          <w:rStyle w:val="Hyperlink"/>
        </w:rPr>
        <w:t xml:space="preserve"> </w:t>
      </w:r>
    </w:p>
    <w:p w14:paraId="4C2393C5" w14:textId="77777777" w:rsidR="00424FD7" w:rsidRDefault="00424FD7" w:rsidP="001F1B27">
      <w:pPr>
        <w:pStyle w:val="Heading1"/>
        <w:sectPr w:rsidR="00424FD7" w:rsidSect="00157053">
          <w:headerReference w:type="even" r:id="rId20"/>
          <w:footerReference w:type="even" r:id="rId21"/>
          <w:footerReference w:type="default" r:id="rId22"/>
          <w:pgSz w:w="11906" w:h="16838" w:code="9"/>
          <w:pgMar w:top="1417" w:right="1417" w:bottom="1417" w:left="1417" w:header="709" w:footer="709" w:gutter="0"/>
          <w:cols w:space="708"/>
          <w:titlePg/>
          <w:docGrid w:linePitch="360"/>
        </w:sectPr>
      </w:pPr>
    </w:p>
    <w:p w14:paraId="77EC5F74" w14:textId="77777777" w:rsidR="000E0B74" w:rsidRDefault="000E0B74" w:rsidP="001F1B27">
      <w:pPr>
        <w:pStyle w:val="Heading1"/>
      </w:pPr>
      <w:bookmarkStart w:id="0" w:name="_Toc121750794"/>
      <w:bookmarkStart w:id="1" w:name="_Toc121750957"/>
      <w:bookmarkStart w:id="2" w:name="_Toc121818238"/>
      <w:bookmarkStart w:id="3" w:name="_Toc121996052"/>
      <w:r w:rsidRPr="001F1B27">
        <w:lastRenderedPageBreak/>
        <w:t>Contents</w:t>
      </w:r>
      <w:bookmarkEnd w:id="0"/>
      <w:bookmarkEnd w:id="1"/>
      <w:bookmarkEnd w:id="2"/>
      <w:bookmarkEnd w:id="3"/>
    </w:p>
    <w:p w14:paraId="13D30122" w14:textId="5BC872CA" w:rsidR="00941321" w:rsidRDefault="000E0B74">
      <w:pPr>
        <w:pStyle w:val="TOC1"/>
        <w:rPr>
          <w:rFonts w:asciiTheme="minorHAnsi" w:eastAsiaTheme="minorEastAsia" w:hAnsiTheme="minorHAnsi" w:cstheme="minorBidi"/>
          <w:b w:val="0"/>
          <w:color w:val="auto"/>
        </w:rPr>
      </w:pPr>
      <w:r>
        <w:rPr>
          <w:color w:val="004A7F"/>
        </w:rPr>
        <w:fldChar w:fldCharType="begin"/>
      </w:r>
      <w:r w:rsidRPr="0025652F">
        <w:instrText xml:space="preserve"> TOC \o "1-3" \h \z \u </w:instrText>
      </w:r>
      <w:r>
        <w:rPr>
          <w:color w:val="004A7F"/>
        </w:rPr>
        <w:fldChar w:fldCharType="separate"/>
      </w:r>
      <w:hyperlink w:anchor="_Toc121996053" w:history="1">
        <w:r w:rsidR="00941321" w:rsidRPr="00447D1D">
          <w:rPr>
            <w:rStyle w:val="Hyperlink"/>
          </w:rPr>
          <w:t>Foreword</w:t>
        </w:r>
        <w:r w:rsidR="00941321">
          <w:rPr>
            <w:webHidden/>
          </w:rPr>
          <w:tab/>
        </w:r>
        <w:r w:rsidR="00941321">
          <w:rPr>
            <w:webHidden/>
          </w:rPr>
          <w:fldChar w:fldCharType="begin"/>
        </w:r>
        <w:r w:rsidR="00941321">
          <w:rPr>
            <w:webHidden/>
          </w:rPr>
          <w:instrText xml:space="preserve"> PAGEREF _Toc121996053 \h </w:instrText>
        </w:r>
        <w:r w:rsidR="00941321">
          <w:rPr>
            <w:webHidden/>
          </w:rPr>
        </w:r>
        <w:r w:rsidR="00941321">
          <w:rPr>
            <w:webHidden/>
          </w:rPr>
          <w:fldChar w:fldCharType="separate"/>
        </w:r>
        <w:r w:rsidR="00736337">
          <w:rPr>
            <w:webHidden/>
          </w:rPr>
          <w:t>4</w:t>
        </w:r>
        <w:r w:rsidR="00941321">
          <w:rPr>
            <w:webHidden/>
          </w:rPr>
          <w:fldChar w:fldCharType="end"/>
        </w:r>
      </w:hyperlink>
    </w:p>
    <w:p w14:paraId="20DF3D0F" w14:textId="00DF4606" w:rsidR="00941321" w:rsidRDefault="002D10B8">
      <w:pPr>
        <w:pStyle w:val="TOC1"/>
        <w:rPr>
          <w:rFonts w:asciiTheme="minorHAnsi" w:eastAsiaTheme="minorEastAsia" w:hAnsiTheme="minorHAnsi" w:cstheme="minorBidi"/>
          <w:b w:val="0"/>
          <w:color w:val="auto"/>
        </w:rPr>
      </w:pPr>
      <w:hyperlink w:anchor="_Toc121996054" w:history="1">
        <w:r w:rsidR="00941321" w:rsidRPr="00447D1D">
          <w:rPr>
            <w:rStyle w:val="Hyperlink"/>
          </w:rPr>
          <w:t>Overview of the Code</w:t>
        </w:r>
        <w:r w:rsidR="00941321">
          <w:rPr>
            <w:webHidden/>
          </w:rPr>
          <w:tab/>
        </w:r>
        <w:r w:rsidR="00941321">
          <w:rPr>
            <w:webHidden/>
          </w:rPr>
          <w:fldChar w:fldCharType="begin"/>
        </w:r>
        <w:r w:rsidR="00941321">
          <w:rPr>
            <w:webHidden/>
          </w:rPr>
          <w:instrText xml:space="preserve"> PAGEREF _Toc121996054 \h </w:instrText>
        </w:r>
        <w:r w:rsidR="00941321">
          <w:rPr>
            <w:webHidden/>
          </w:rPr>
        </w:r>
        <w:r w:rsidR="00941321">
          <w:rPr>
            <w:webHidden/>
          </w:rPr>
          <w:fldChar w:fldCharType="separate"/>
        </w:r>
        <w:r w:rsidR="00736337">
          <w:rPr>
            <w:webHidden/>
          </w:rPr>
          <w:t>6</w:t>
        </w:r>
        <w:r w:rsidR="00941321">
          <w:rPr>
            <w:webHidden/>
          </w:rPr>
          <w:fldChar w:fldCharType="end"/>
        </w:r>
      </w:hyperlink>
    </w:p>
    <w:p w14:paraId="2F363BC5" w14:textId="35DF31A7" w:rsidR="00941321" w:rsidRDefault="002D10B8">
      <w:pPr>
        <w:pStyle w:val="TOC1"/>
        <w:rPr>
          <w:rFonts w:asciiTheme="minorHAnsi" w:eastAsiaTheme="minorEastAsia" w:hAnsiTheme="minorHAnsi" w:cstheme="minorBidi"/>
          <w:b w:val="0"/>
          <w:color w:val="auto"/>
        </w:rPr>
      </w:pPr>
      <w:hyperlink w:anchor="_Toc121996055" w:history="1">
        <w:r w:rsidR="00941321" w:rsidRPr="00447D1D">
          <w:rPr>
            <w:rStyle w:val="Hyperlink"/>
          </w:rPr>
          <w:t>Food and grocery sector in 2021/2022</w:t>
        </w:r>
        <w:r w:rsidR="00941321">
          <w:rPr>
            <w:webHidden/>
          </w:rPr>
          <w:tab/>
        </w:r>
        <w:r w:rsidR="00941321">
          <w:rPr>
            <w:webHidden/>
          </w:rPr>
          <w:fldChar w:fldCharType="begin"/>
        </w:r>
        <w:r w:rsidR="00941321">
          <w:rPr>
            <w:webHidden/>
          </w:rPr>
          <w:instrText xml:space="preserve"> PAGEREF _Toc121996055 \h </w:instrText>
        </w:r>
        <w:r w:rsidR="00941321">
          <w:rPr>
            <w:webHidden/>
          </w:rPr>
        </w:r>
        <w:r w:rsidR="00941321">
          <w:rPr>
            <w:webHidden/>
          </w:rPr>
          <w:fldChar w:fldCharType="separate"/>
        </w:r>
        <w:r w:rsidR="00736337">
          <w:rPr>
            <w:webHidden/>
          </w:rPr>
          <w:t>7</w:t>
        </w:r>
        <w:r w:rsidR="00941321">
          <w:rPr>
            <w:webHidden/>
          </w:rPr>
          <w:fldChar w:fldCharType="end"/>
        </w:r>
      </w:hyperlink>
    </w:p>
    <w:p w14:paraId="4E9FCDCE" w14:textId="359223C8" w:rsidR="00941321" w:rsidRDefault="002D10B8">
      <w:pPr>
        <w:pStyle w:val="TOC2"/>
        <w:rPr>
          <w:rFonts w:asciiTheme="minorHAnsi" w:eastAsiaTheme="minorEastAsia" w:hAnsiTheme="minorHAnsi" w:cstheme="minorBidi"/>
          <w:color w:val="auto"/>
          <w:szCs w:val="22"/>
        </w:rPr>
      </w:pPr>
      <w:hyperlink w:anchor="_Toc121996056" w:history="1">
        <w:r w:rsidR="00941321" w:rsidRPr="00447D1D">
          <w:rPr>
            <w:rStyle w:val="Hyperlink"/>
          </w:rPr>
          <w:t>Composition of supermarket sector</w:t>
        </w:r>
        <w:r w:rsidR="00941321">
          <w:rPr>
            <w:webHidden/>
          </w:rPr>
          <w:tab/>
        </w:r>
        <w:r w:rsidR="00941321">
          <w:rPr>
            <w:webHidden/>
          </w:rPr>
          <w:fldChar w:fldCharType="begin"/>
        </w:r>
        <w:r w:rsidR="00941321">
          <w:rPr>
            <w:webHidden/>
          </w:rPr>
          <w:instrText xml:space="preserve"> PAGEREF _Toc121996056 \h </w:instrText>
        </w:r>
        <w:r w:rsidR="00941321">
          <w:rPr>
            <w:webHidden/>
          </w:rPr>
        </w:r>
        <w:r w:rsidR="00941321">
          <w:rPr>
            <w:webHidden/>
          </w:rPr>
          <w:fldChar w:fldCharType="separate"/>
        </w:r>
        <w:r w:rsidR="00736337">
          <w:rPr>
            <w:webHidden/>
          </w:rPr>
          <w:t>7</w:t>
        </w:r>
        <w:r w:rsidR="00941321">
          <w:rPr>
            <w:webHidden/>
          </w:rPr>
          <w:fldChar w:fldCharType="end"/>
        </w:r>
      </w:hyperlink>
    </w:p>
    <w:p w14:paraId="63A73E7C" w14:textId="665A5434" w:rsidR="00941321" w:rsidRDefault="002D10B8">
      <w:pPr>
        <w:pStyle w:val="TOC1"/>
        <w:rPr>
          <w:rFonts w:asciiTheme="minorHAnsi" w:eastAsiaTheme="minorEastAsia" w:hAnsiTheme="minorHAnsi" w:cstheme="minorBidi"/>
          <w:b w:val="0"/>
          <w:color w:val="auto"/>
        </w:rPr>
      </w:pPr>
      <w:hyperlink w:anchor="_Toc121996057" w:history="1">
        <w:r w:rsidR="00941321" w:rsidRPr="00447D1D">
          <w:rPr>
            <w:rStyle w:val="Hyperlink"/>
          </w:rPr>
          <w:t>Reports of the Code Arbiters &amp; Survey of Code Signatories</w:t>
        </w:r>
        <w:r w:rsidR="00941321">
          <w:rPr>
            <w:webHidden/>
          </w:rPr>
          <w:tab/>
        </w:r>
        <w:r w:rsidR="00941321">
          <w:rPr>
            <w:webHidden/>
          </w:rPr>
          <w:fldChar w:fldCharType="begin"/>
        </w:r>
        <w:r w:rsidR="00941321">
          <w:rPr>
            <w:webHidden/>
          </w:rPr>
          <w:instrText xml:space="preserve"> PAGEREF _Toc121996057 \h </w:instrText>
        </w:r>
        <w:r w:rsidR="00941321">
          <w:rPr>
            <w:webHidden/>
          </w:rPr>
        </w:r>
        <w:r w:rsidR="00941321">
          <w:rPr>
            <w:webHidden/>
          </w:rPr>
          <w:fldChar w:fldCharType="separate"/>
        </w:r>
        <w:r w:rsidR="00736337">
          <w:rPr>
            <w:webHidden/>
          </w:rPr>
          <w:t>7</w:t>
        </w:r>
        <w:r w:rsidR="00941321">
          <w:rPr>
            <w:webHidden/>
          </w:rPr>
          <w:fldChar w:fldCharType="end"/>
        </w:r>
      </w:hyperlink>
    </w:p>
    <w:p w14:paraId="22151568" w14:textId="3BF8D3B5" w:rsidR="00941321" w:rsidRDefault="002D10B8">
      <w:pPr>
        <w:pStyle w:val="TOC2"/>
        <w:rPr>
          <w:rFonts w:asciiTheme="minorHAnsi" w:eastAsiaTheme="minorEastAsia" w:hAnsiTheme="minorHAnsi" w:cstheme="minorBidi"/>
          <w:color w:val="auto"/>
          <w:szCs w:val="22"/>
        </w:rPr>
      </w:pPr>
      <w:hyperlink w:anchor="_Toc121996058" w:history="1">
        <w:r w:rsidR="00941321" w:rsidRPr="00447D1D">
          <w:rPr>
            <w:rStyle w:val="Hyperlink"/>
          </w:rPr>
          <w:t>Key findings from Code Arbiters’ reports</w:t>
        </w:r>
        <w:r w:rsidR="00941321">
          <w:rPr>
            <w:webHidden/>
          </w:rPr>
          <w:tab/>
        </w:r>
        <w:r w:rsidR="00941321">
          <w:rPr>
            <w:webHidden/>
          </w:rPr>
          <w:fldChar w:fldCharType="begin"/>
        </w:r>
        <w:r w:rsidR="00941321">
          <w:rPr>
            <w:webHidden/>
          </w:rPr>
          <w:instrText xml:space="preserve"> PAGEREF _Toc121996058 \h </w:instrText>
        </w:r>
        <w:r w:rsidR="00941321">
          <w:rPr>
            <w:webHidden/>
          </w:rPr>
        </w:r>
        <w:r w:rsidR="00941321">
          <w:rPr>
            <w:webHidden/>
          </w:rPr>
          <w:fldChar w:fldCharType="separate"/>
        </w:r>
        <w:r w:rsidR="00736337">
          <w:rPr>
            <w:webHidden/>
          </w:rPr>
          <w:t>7</w:t>
        </w:r>
        <w:r w:rsidR="00941321">
          <w:rPr>
            <w:webHidden/>
          </w:rPr>
          <w:fldChar w:fldCharType="end"/>
        </w:r>
      </w:hyperlink>
    </w:p>
    <w:p w14:paraId="1DE30203" w14:textId="1F5EF1E9" w:rsidR="00941321" w:rsidRDefault="002D10B8">
      <w:pPr>
        <w:pStyle w:val="TOC3"/>
        <w:rPr>
          <w:rFonts w:asciiTheme="minorHAnsi" w:eastAsiaTheme="minorEastAsia" w:hAnsiTheme="minorHAnsi" w:cstheme="minorBidi"/>
          <w:color w:val="auto"/>
          <w:szCs w:val="22"/>
        </w:rPr>
      </w:pPr>
      <w:hyperlink w:anchor="_Toc121996059" w:history="1">
        <w:r w:rsidR="00941321" w:rsidRPr="00447D1D">
          <w:rPr>
            <w:rStyle w:val="Hyperlink"/>
          </w:rPr>
          <w:t>Handling of complaints</w:t>
        </w:r>
        <w:r w:rsidR="00941321">
          <w:rPr>
            <w:webHidden/>
          </w:rPr>
          <w:tab/>
        </w:r>
        <w:r w:rsidR="00941321">
          <w:rPr>
            <w:webHidden/>
          </w:rPr>
          <w:fldChar w:fldCharType="begin"/>
        </w:r>
        <w:r w:rsidR="00941321">
          <w:rPr>
            <w:webHidden/>
          </w:rPr>
          <w:instrText xml:space="preserve"> PAGEREF _Toc121996059 \h </w:instrText>
        </w:r>
        <w:r w:rsidR="00941321">
          <w:rPr>
            <w:webHidden/>
          </w:rPr>
        </w:r>
        <w:r w:rsidR="00941321">
          <w:rPr>
            <w:webHidden/>
          </w:rPr>
          <w:fldChar w:fldCharType="separate"/>
        </w:r>
        <w:r w:rsidR="00736337">
          <w:rPr>
            <w:webHidden/>
          </w:rPr>
          <w:t>8</w:t>
        </w:r>
        <w:r w:rsidR="00941321">
          <w:rPr>
            <w:webHidden/>
          </w:rPr>
          <w:fldChar w:fldCharType="end"/>
        </w:r>
      </w:hyperlink>
    </w:p>
    <w:p w14:paraId="28D0EEA7" w14:textId="165E0985" w:rsidR="00941321" w:rsidRDefault="002D10B8">
      <w:pPr>
        <w:pStyle w:val="TOC3"/>
        <w:rPr>
          <w:rFonts w:asciiTheme="minorHAnsi" w:eastAsiaTheme="minorEastAsia" w:hAnsiTheme="minorHAnsi" w:cstheme="minorBidi"/>
          <w:color w:val="auto"/>
          <w:szCs w:val="22"/>
        </w:rPr>
      </w:pPr>
      <w:hyperlink w:anchor="_Toc121996060" w:history="1">
        <w:r w:rsidR="00941321" w:rsidRPr="00447D1D">
          <w:rPr>
            <w:rStyle w:val="Hyperlink"/>
          </w:rPr>
          <w:t>Price rise notifications and negotiations</w:t>
        </w:r>
        <w:r w:rsidR="00941321">
          <w:rPr>
            <w:webHidden/>
          </w:rPr>
          <w:tab/>
        </w:r>
        <w:r w:rsidR="00941321">
          <w:rPr>
            <w:webHidden/>
          </w:rPr>
          <w:fldChar w:fldCharType="begin"/>
        </w:r>
        <w:r w:rsidR="00941321">
          <w:rPr>
            <w:webHidden/>
          </w:rPr>
          <w:instrText xml:space="preserve"> PAGEREF _Toc121996060 \h </w:instrText>
        </w:r>
        <w:r w:rsidR="00941321">
          <w:rPr>
            <w:webHidden/>
          </w:rPr>
        </w:r>
        <w:r w:rsidR="00941321">
          <w:rPr>
            <w:webHidden/>
          </w:rPr>
          <w:fldChar w:fldCharType="separate"/>
        </w:r>
        <w:r w:rsidR="00736337">
          <w:rPr>
            <w:webHidden/>
          </w:rPr>
          <w:t>8</w:t>
        </w:r>
        <w:r w:rsidR="00941321">
          <w:rPr>
            <w:webHidden/>
          </w:rPr>
          <w:fldChar w:fldCharType="end"/>
        </w:r>
      </w:hyperlink>
    </w:p>
    <w:p w14:paraId="72605408" w14:textId="05485EAD" w:rsidR="00941321" w:rsidRDefault="002D10B8">
      <w:pPr>
        <w:pStyle w:val="TOC2"/>
        <w:rPr>
          <w:rFonts w:asciiTheme="minorHAnsi" w:eastAsiaTheme="minorEastAsia" w:hAnsiTheme="minorHAnsi" w:cstheme="minorBidi"/>
          <w:color w:val="auto"/>
          <w:szCs w:val="22"/>
        </w:rPr>
      </w:pPr>
      <w:hyperlink w:anchor="_Toc121996061" w:history="1">
        <w:r w:rsidR="00941321" w:rsidRPr="00447D1D">
          <w:rPr>
            <w:rStyle w:val="Hyperlink"/>
          </w:rPr>
          <w:t>Commentary on retailer/wholesaler survey responses</w:t>
        </w:r>
        <w:r w:rsidR="00941321">
          <w:rPr>
            <w:webHidden/>
          </w:rPr>
          <w:tab/>
        </w:r>
        <w:r w:rsidR="00941321">
          <w:rPr>
            <w:webHidden/>
          </w:rPr>
          <w:fldChar w:fldCharType="begin"/>
        </w:r>
        <w:r w:rsidR="00941321">
          <w:rPr>
            <w:webHidden/>
          </w:rPr>
          <w:instrText xml:space="preserve"> PAGEREF _Toc121996061 \h </w:instrText>
        </w:r>
        <w:r w:rsidR="00941321">
          <w:rPr>
            <w:webHidden/>
          </w:rPr>
        </w:r>
        <w:r w:rsidR="00941321">
          <w:rPr>
            <w:webHidden/>
          </w:rPr>
          <w:fldChar w:fldCharType="separate"/>
        </w:r>
        <w:r w:rsidR="00736337">
          <w:rPr>
            <w:webHidden/>
          </w:rPr>
          <w:t>9</w:t>
        </w:r>
        <w:r w:rsidR="00941321">
          <w:rPr>
            <w:webHidden/>
          </w:rPr>
          <w:fldChar w:fldCharType="end"/>
        </w:r>
      </w:hyperlink>
    </w:p>
    <w:p w14:paraId="7484AF2A" w14:textId="6810BBB8" w:rsidR="00941321" w:rsidRDefault="002D10B8">
      <w:pPr>
        <w:pStyle w:val="TOC3"/>
        <w:rPr>
          <w:rFonts w:asciiTheme="minorHAnsi" w:eastAsiaTheme="minorEastAsia" w:hAnsiTheme="minorHAnsi" w:cstheme="minorBidi"/>
          <w:color w:val="auto"/>
          <w:szCs w:val="22"/>
        </w:rPr>
      </w:pPr>
      <w:hyperlink w:anchor="_Toc121996062" w:history="1">
        <w:r w:rsidR="00941321" w:rsidRPr="00447D1D">
          <w:rPr>
            <w:rStyle w:val="Hyperlink"/>
          </w:rPr>
          <w:t>Changes to dispute resolution arrangements</w:t>
        </w:r>
        <w:r w:rsidR="00941321">
          <w:rPr>
            <w:webHidden/>
          </w:rPr>
          <w:tab/>
        </w:r>
        <w:r w:rsidR="00941321">
          <w:rPr>
            <w:webHidden/>
          </w:rPr>
          <w:fldChar w:fldCharType="begin"/>
        </w:r>
        <w:r w:rsidR="00941321">
          <w:rPr>
            <w:webHidden/>
          </w:rPr>
          <w:instrText xml:space="preserve"> PAGEREF _Toc121996062 \h </w:instrText>
        </w:r>
        <w:r w:rsidR="00941321">
          <w:rPr>
            <w:webHidden/>
          </w:rPr>
        </w:r>
        <w:r w:rsidR="00941321">
          <w:rPr>
            <w:webHidden/>
          </w:rPr>
          <w:fldChar w:fldCharType="separate"/>
        </w:r>
        <w:r w:rsidR="00736337">
          <w:rPr>
            <w:webHidden/>
          </w:rPr>
          <w:t>9</w:t>
        </w:r>
        <w:r w:rsidR="00941321">
          <w:rPr>
            <w:webHidden/>
          </w:rPr>
          <w:fldChar w:fldCharType="end"/>
        </w:r>
      </w:hyperlink>
    </w:p>
    <w:p w14:paraId="2140CCA1" w14:textId="12122092" w:rsidR="00941321" w:rsidRDefault="002D10B8">
      <w:pPr>
        <w:pStyle w:val="TOC3"/>
        <w:rPr>
          <w:rFonts w:asciiTheme="minorHAnsi" w:eastAsiaTheme="minorEastAsia" w:hAnsiTheme="minorHAnsi" w:cstheme="minorBidi"/>
          <w:color w:val="auto"/>
          <w:szCs w:val="22"/>
        </w:rPr>
      </w:pPr>
      <w:hyperlink w:anchor="_Toc121996063" w:history="1">
        <w:r w:rsidR="00941321" w:rsidRPr="00447D1D">
          <w:rPr>
            <w:rStyle w:val="Hyperlink"/>
          </w:rPr>
          <w:t>Staff training</w:t>
        </w:r>
        <w:r w:rsidR="00941321">
          <w:rPr>
            <w:webHidden/>
          </w:rPr>
          <w:tab/>
        </w:r>
        <w:r w:rsidR="00941321">
          <w:rPr>
            <w:webHidden/>
          </w:rPr>
          <w:fldChar w:fldCharType="begin"/>
        </w:r>
        <w:r w:rsidR="00941321">
          <w:rPr>
            <w:webHidden/>
          </w:rPr>
          <w:instrText xml:space="preserve"> PAGEREF _Toc121996063 \h </w:instrText>
        </w:r>
        <w:r w:rsidR="00941321">
          <w:rPr>
            <w:webHidden/>
          </w:rPr>
        </w:r>
        <w:r w:rsidR="00941321">
          <w:rPr>
            <w:webHidden/>
          </w:rPr>
          <w:fldChar w:fldCharType="separate"/>
        </w:r>
        <w:r w:rsidR="00736337">
          <w:rPr>
            <w:webHidden/>
          </w:rPr>
          <w:t>9</w:t>
        </w:r>
        <w:r w:rsidR="00941321">
          <w:rPr>
            <w:webHidden/>
          </w:rPr>
          <w:fldChar w:fldCharType="end"/>
        </w:r>
      </w:hyperlink>
    </w:p>
    <w:p w14:paraId="4DF70565" w14:textId="0AF67875" w:rsidR="00941321" w:rsidRDefault="002D10B8">
      <w:pPr>
        <w:pStyle w:val="TOC3"/>
        <w:rPr>
          <w:rFonts w:asciiTheme="minorHAnsi" w:eastAsiaTheme="minorEastAsia" w:hAnsiTheme="minorHAnsi" w:cstheme="minorBidi"/>
          <w:color w:val="auto"/>
          <w:szCs w:val="22"/>
        </w:rPr>
      </w:pPr>
      <w:hyperlink w:anchor="_Toc121996064" w:history="1">
        <w:r w:rsidR="00941321" w:rsidRPr="00447D1D">
          <w:rPr>
            <w:rStyle w:val="Hyperlink"/>
          </w:rPr>
          <w:t>Price increase notifications and negotiations</w:t>
        </w:r>
        <w:r w:rsidR="00941321">
          <w:rPr>
            <w:webHidden/>
          </w:rPr>
          <w:tab/>
        </w:r>
        <w:r w:rsidR="00941321">
          <w:rPr>
            <w:webHidden/>
          </w:rPr>
          <w:fldChar w:fldCharType="begin"/>
        </w:r>
        <w:r w:rsidR="00941321">
          <w:rPr>
            <w:webHidden/>
          </w:rPr>
          <w:instrText xml:space="preserve"> PAGEREF _Toc121996064 \h </w:instrText>
        </w:r>
        <w:r w:rsidR="00941321">
          <w:rPr>
            <w:webHidden/>
          </w:rPr>
        </w:r>
        <w:r w:rsidR="00941321">
          <w:rPr>
            <w:webHidden/>
          </w:rPr>
          <w:fldChar w:fldCharType="separate"/>
        </w:r>
        <w:r w:rsidR="00736337">
          <w:rPr>
            <w:webHidden/>
          </w:rPr>
          <w:t>9</w:t>
        </w:r>
        <w:r w:rsidR="00941321">
          <w:rPr>
            <w:webHidden/>
          </w:rPr>
          <w:fldChar w:fldCharType="end"/>
        </w:r>
      </w:hyperlink>
    </w:p>
    <w:p w14:paraId="1896C36B" w14:textId="0A45EA4B" w:rsidR="00941321" w:rsidRDefault="002D10B8">
      <w:pPr>
        <w:pStyle w:val="TOC3"/>
        <w:rPr>
          <w:rFonts w:asciiTheme="minorHAnsi" w:eastAsiaTheme="minorEastAsia" w:hAnsiTheme="minorHAnsi" w:cstheme="minorBidi"/>
          <w:color w:val="auto"/>
          <w:szCs w:val="22"/>
        </w:rPr>
      </w:pPr>
      <w:hyperlink w:anchor="_Toc121996065" w:history="1">
        <w:r w:rsidR="00941321" w:rsidRPr="00447D1D">
          <w:rPr>
            <w:rStyle w:val="Hyperlink"/>
          </w:rPr>
          <w:t>Cost of compliance with the Code</w:t>
        </w:r>
        <w:r w:rsidR="00941321">
          <w:rPr>
            <w:webHidden/>
          </w:rPr>
          <w:tab/>
        </w:r>
        <w:r w:rsidR="00941321">
          <w:rPr>
            <w:webHidden/>
          </w:rPr>
          <w:fldChar w:fldCharType="begin"/>
        </w:r>
        <w:r w:rsidR="00941321">
          <w:rPr>
            <w:webHidden/>
          </w:rPr>
          <w:instrText xml:space="preserve"> PAGEREF _Toc121996065 \h </w:instrText>
        </w:r>
        <w:r w:rsidR="00941321">
          <w:rPr>
            <w:webHidden/>
          </w:rPr>
        </w:r>
        <w:r w:rsidR="00941321">
          <w:rPr>
            <w:webHidden/>
          </w:rPr>
          <w:fldChar w:fldCharType="separate"/>
        </w:r>
        <w:r w:rsidR="00736337">
          <w:rPr>
            <w:webHidden/>
          </w:rPr>
          <w:t>10</w:t>
        </w:r>
        <w:r w:rsidR="00941321">
          <w:rPr>
            <w:webHidden/>
          </w:rPr>
          <w:fldChar w:fldCharType="end"/>
        </w:r>
      </w:hyperlink>
    </w:p>
    <w:p w14:paraId="6AD39D89" w14:textId="44E7F777" w:rsidR="00941321" w:rsidRDefault="002D10B8">
      <w:pPr>
        <w:pStyle w:val="TOC1"/>
        <w:rPr>
          <w:rFonts w:asciiTheme="minorHAnsi" w:eastAsiaTheme="minorEastAsia" w:hAnsiTheme="minorHAnsi" w:cstheme="minorBidi"/>
          <w:b w:val="0"/>
          <w:color w:val="auto"/>
        </w:rPr>
      </w:pPr>
      <w:hyperlink w:anchor="_Toc121996066" w:history="1">
        <w:r w:rsidR="00941321" w:rsidRPr="00447D1D">
          <w:rPr>
            <w:rStyle w:val="Hyperlink"/>
          </w:rPr>
          <w:t>Complaints reviewed during the 2021–22 year</w:t>
        </w:r>
        <w:r w:rsidR="00941321">
          <w:rPr>
            <w:webHidden/>
          </w:rPr>
          <w:tab/>
        </w:r>
        <w:r w:rsidR="00941321">
          <w:rPr>
            <w:webHidden/>
          </w:rPr>
          <w:fldChar w:fldCharType="begin"/>
        </w:r>
        <w:r w:rsidR="00941321">
          <w:rPr>
            <w:webHidden/>
          </w:rPr>
          <w:instrText xml:space="preserve"> PAGEREF _Toc121996066 \h </w:instrText>
        </w:r>
        <w:r w:rsidR="00941321">
          <w:rPr>
            <w:webHidden/>
          </w:rPr>
        </w:r>
        <w:r w:rsidR="00941321">
          <w:rPr>
            <w:webHidden/>
          </w:rPr>
          <w:fldChar w:fldCharType="separate"/>
        </w:r>
        <w:r w:rsidR="00736337">
          <w:rPr>
            <w:webHidden/>
          </w:rPr>
          <w:t>10</w:t>
        </w:r>
        <w:r w:rsidR="00941321">
          <w:rPr>
            <w:webHidden/>
          </w:rPr>
          <w:fldChar w:fldCharType="end"/>
        </w:r>
      </w:hyperlink>
    </w:p>
    <w:p w14:paraId="534F7D6A" w14:textId="28743D29" w:rsidR="00941321" w:rsidRDefault="002D10B8">
      <w:pPr>
        <w:pStyle w:val="TOC1"/>
        <w:rPr>
          <w:rFonts w:asciiTheme="minorHAnsi" w:eastAsiaTheme="minorEastAsia" w:hAnsiTheme="minorHAnsi" w:cstheme="minorBidi"/>
          <w:b w:val="0"/>
          <w:color w:val="auto"/>
        </w:rPr>
      </w:pPr>
      <w:hyperlink w:anchor="_Toc121996067" w:history="1">
        <w:r w:rsidR="00941321" w:rsidRPr="00447D1D">
          <w:rPr>
            <w:rStyle w:val="Hyperlink"/>
          </w:rPr>
          <w:t>Survey of suppliers to Code Signatories</w:t>
        </w:r>
        <w:r w:rsidR="00941321">
          <w:rPr>
            <w:webHidden/>
          </w:rPr>
          <w:tab/>
        </w:r>
        <w:r w:rsidR="00941321">
          <w:rPr>
            <w:webHidden/>
          </w:rPr>
          <w:fldChar w:fldCharType="begin"/>
        </w:r>
        <w:r w:rsidR="00941321">
          <w:rPr>
            <w:webHidden/>
          </w:rPr>
          <w:instrText xml:space="preserve"> PAGEREF _Toc121996067 \h </w:instrText>
        </w:r>
        <w:r w:rsidR="00941321">
          <w:rPr>
            <w:webHidden/>
          </w:rPr>
        </w:r>
        <w:r w:rsidR="00941321">
          <w:rPr>
            <w:webHidden/>
          </w:rPr>
          <w:fldChar w:fldCharType="separate"/>
        </w:r>
        <w:r w:rsidR="00736337">
          <w:rPr>
            <w:webHidden/>
          </w:rPr>
          <w:t>11</w:t>
        </w:r>
        <w:r w:rsidR="00941321">
          <w:rPr>
            <w:webHidden/>
          </w:rPr>
          <w:fldChar w:fldCharType="end"/>
        </w:r>
      </w:hyperlink>
    </w:p>
    <w:p w14:paraId="2B8B3409" w14:textId="57024C25" w:rsidR="00941321" w:rsidRDefault="002D10B8">
      <w:pPr>
        <w:pStyle w:val="TOC2"/>
        <w:rPr>
          <w:rFonts w:asciiTheme="minorHAnsi" w:eastAsiaTheme="minorEastAsia" w:hAnsiTheme="minorHAnsi" w:cstheme="minorBidi"/>
          <w:color w:val="auto"/>
          <w:szCs w:val="22"/>
        </w:rPr>
      </w:pPr>
      <w:hyperlink w:anchor="_Toc121996068" w:history="1">
        <w:r w:rsidR="00941321" w:rsidRPr="00447D1D">
          <w:rPr>
            <w:rStyle w:val="Hyperlink"/>
          </w:rPr>
          <w:t>Process for conducting the survey</w:t>
        </w:r>
        <w:r w:rsidR="00941321">
          <w:rPr>
            <w:webHidden/>
          </w:rPr>
          <w:tab/>
        </w:r>
        <w:r w:rsidR="00941321">
          <w:rPr>
            <w:webHidden/>
          </w:rPr>
          <w:fldChar w:fldCharType="begin"/>
        </w:r>
        <w:r w:rsidR="00941321">
          <w:rPr>
            <w:webHidden/>
          </w:rPr>
          <w:instrText xml:space="preserve"> PAGEREF _Toc121996068 \h </w:instrText>
        </w:r>
        <w:r w:rsidR="00941321">
          <w:rPr>
            <w:webHidden/>
          </w:rPr>
        </w:r>
        <w:r w:rsidR="00941321">
          <w:rPr>
            <w:webHidden/>
          </w:rPr>
          <w:fldChar w:fldCharType="separate"/>
        </w:r>
        <w:r w:rsidR="00736337">
          <w:rPr>
            <w:webHidden/>
          </w:rPr>
          <w:t>11</w:t>
        </w:r>
        <w:r w:rsidR="00941321">
          <w:rPr>
            <w:webHidden/>
          </w:rPr>
          <w:fldChar w:fldCharType="end"/>
        </w:r>
      </w:hyperlink>
    </w:p>
    <w:p w14:paraId="1657FFA9" w14:textId="63DEAB1E" w:rsidR="00941321" w:rsidRDefault="002D10B8">
      <w:pPr>
        <w:pStyle w:val="TOC3"/>
        <w:rPr>
          <w:rFonts w:asciiTheme="minorHAnsi" w:eastAsiaTheme="minorEastAsia" w:hAnsiTheme="minorHAnsi" w:cstheme="minorBidi"/>
          <w:color w:val="auto"/>
          <w:szCs w:val="22"/>
        </w:rPr>
      </w:pPr>
      <w:hyperlink w:anchor="_Toc121996069" w:history="1">
        <w:r w:rsidR="00941321" w:rsidRPr="00447D1D">
          <w:rPr>
            <w:rStyle w:val="Hyperlink"/>
          </w:rPr>
          <w:t>Characteristics of respondents</w:t>
        </w:r>
        <w:r w:rsidR="00941321">
          <w:rPr>
            <w:webHidden/>
          </w:rPr>
          <w:tab/>
        </w:r>
        <w:r w:rsidR="00941321">
          <w:rPr>
            <w:webHidden/>
          </w:rPr>
          <w:fldChar w:fldCharType="begin"/>
        </w:r>
        <w:r w:rsidR="00941321">
          <w:rPr>
            <w:webHidden/>
          </w:rPr>
          <w:instrText xml:space="preserve"> PAGEREF _Toc121996069 \h </w:instrText>
        </w:r>
        <w:r w:rsidR="00941321">
          <w:rPr>
            <w:webHidden/>
          </w:rPr>
        </w:r>
        <w:r w:rsidR="00941321">
          <w:rPr>
            <w:webHidden/>
          </w:rPr>
          <w:fldChar w:fldCharType="separate"/>
        </w:r>
        <w:r w:rsidR="00736337">
          <w:rPr>
            <w:webHidden/>
          </w:rPr>
          <w:t>12</w:t>
        </w:r>
        <w:r w:rsidR="00941321">
          <w:rPr>
            <w:webHidden/>
          </w:rPr>
          <w:fldChar w:fldCharType="end"/>
        </w:r>
      </w:hyperlink>
    </w:p>
    <w:p w14:paraId="48F7A753" w14:textId="6A0EB77F" w:rsidR="00941321" w:rsidRDefault="002D10B8">
      <w:pPr>
        <w:pStyle w:val="TOC2"/>
        <w:rPr>
          <w:rFonts w:asciiTheme="minorHAnsi" w:eastAsiaTheme="minorEastAsia" w:hAnsiTheme="minorHAnsi" w:cstheme="minorBidi"/>
          <w:color w:val="auto"/>
          <w:szCs w:val="22"/>
        </w:rPr>
      </w:pPr>
      <w:hyperlink w:anchor="_Toc121996070" w:history="1">
        <w:r w:rsidR="00941321" w:rsidRPr="00447D1D">
          <w:rPr>
            <w:rStyle w:val="Hyperlink"/>
          </w:rPr>
          <w:t>Key findings from the survey of suppliers</w:t>
        </w:r>
        <w:r w:rsidR="00941321">
          <w:rPr>
            <w:webHidden/>
          </w:rPr>
          <w:tab/>
        </w:r>
        <w:r w:rsidR="00941321">
          <w:rPr>
            <w:webHidden/>
          </w:rPr>
          <w:fldChar w:fldCharType="begin"/>
        </w:r>
        <w:r w:rsidR="00941321">
          <w:rPr>
            <w:webHidden/>
          </w:rPr>
          <w:instrText xml:space="preserve"> PAGEREF _Toc121996070 \h </w:instrText>
        </w:r>
        <w:r w:rsidR="00941321">
          <w:rPr>
            <w:webHidden/>
          </w:rPr>
        </w:r>
        <w:r w:rsidR="00941321">
          <w:rPr>
            <w:webHidden/>
          </w:rPr>
          <w:fldChar w:fldCharType="separate"/>
        </w:r>
        <w:r w:rsidR="00736337">
          <w:rPr>
            <w:webHidden/>
          </w:rPr>
          <w:t>13</w:t>
        </w:r>
        <w:r w:rsidR="00941321">
          <w:rPr>
            <w:webHidden/>
          </w:rPr>
          <w:fldChar w:fldCharType="end"/>
        </w:r>
      </w:hyperlink>
    </w:p>
    <w:p w14:paraId="5FDAE614" w14:textId="620B787C" w:rsidR="00941321" w:rsidRDefault="002D10B8">
      <w:pPr>
        <w:pStyle w:val="TOC3"/>
        <w:rPr>
          <w:rFonts w:asciiTheme="minorHAnsi" w:eastAsiaTheme="minorEastAsia" w:hAnsiTheme="minorHAnsi" w:cstheme="minorBidi"/>
          <w:color w:val="auto"/>
          <w:szCs w:val="22"/>
        </w:rPr>
      </w:pPr>
      <w:hyperlink w:anchor="_Toc121996071" w:history="1">
        <w:r w:rsidR="00941321" w:rsidRPr="00447D1D">
          <w:rPr>
            <w:rStyle w:val="Hyperlink"/>
          </w:rPr>
          <w:t>Fair dealings with retailers and wholesaler</w:t>
        </w:r>
        <w:r w:rsidR="00941321">
          <w:rPr>
            <w:webHidden/>
          </w:rPr>
          <w:tab/>
        </w:r>
        <w:r w:rsidR="00941321">
          <w:rPr>
            <w:webHidden/>
          </w:rPr>
          <w:fldChar w:fldCharType="begin"/>
        </w:r>
        <w:r w:rsidR="00941321">
          <w:rPr>
            <w:webHidden/>
          </w:rPr>
          <w:instrText xml:space="preserve"> PAGEREF _Toc121996071 \h </w:instrText>
        </w:r>
        <w:r w:rsidR="00941321">
          <w:rPr>
            <w:webHidden/>
          </w:rPr>
        </w:r>
        <w:r w:rsidR="00941321">
          <w:rPr>
            <w:webHidden/>
          </w:rPr>
          <w:fldChar w:fldCharType="separate"/>
        </w:r>
        <w:r w:rsidR="00736337">
          <w:rPr>
            <w:webHidden/>
          </w:rPr>
          <w:t>13</w:t>
        </w:r>
        <w:r w:rsidR="00941321">
          <w:rPr>
            <w:webHidden/>
          </w:rPr>
          <w:fldChar w:fldCharType="end"/>
        </w:r>
      </w:hyperlink>
    </w:p>
    <w:p w14:paraId="6BB97FAE" w14:textId="1B5BBA92" w:rsidR="00941321" w:rsidRDefault="002D10B8">
      <w:pPr>
        <w:pStyle w:val="TOC3"/>
        <w:rPr>
          <w:rFonts w:asciiTheme="minorHAnsi" w:eastAsiaTheme="minorEastAsia" w:hAnsiTheme="minorHAnsi" w:cstheme="minorBidi"/>
          <w:color w:val="auto"/>
          <w:szCs w:val="22"/>
        </w:rPr>
      </w:pPr>
      <w:hyperlink w:anchor="_Toc121996072" w:history="1">
        <w:r w:rsidR="00941321" w:rsidRPr="00447D1D">
          <w:rPr>
            <w:rStyle w:val="Hyperlink"/>
          </w:rPr>
          <w:t>Supplier issues resolved promptly</w:t>
        </w:r>
        <w:r w:rsidR="00941321">
          <w:rPr>
            <w:webHidden/>
          </w:rPr>
          <w:tab/>
        </w:r>
        <w:r w:rsidR="00941321">
          <w:rPr>
            <w:webHidden/>
          </w:rPr>
          <w:fldChar w:fldCharType="begin"/>
        </w:r>
        <w:r w:rsidR="00941321">
          <w:rPr>
            <w:webHidden/>
          </w:rPr>
          <w:instrText xml:space="preserve"> PAGEREF _Toc121996072 \h </w:instrText>
        </w:r>
        <w:r w:rsidR="00941321">
          <w:rPr>
            <w:webHidden/>
          </w:rPr>
        </w:r>
        <w:r w:rsidR="00941321">
          <w:rPr>
            <w:webHidden/>
          </w:rPr>
          <w:fldChar w:fldCharType="separate"/>
        </w:r>
        <w:r w:rsidR="00736337">
          <w:rPr>
            <w:webHidden/>
          </w:rPr>
          <w:t>14</w:t>
        </w:r>
        <w:r w:rsidR="00941321">
          <w:rPr>
            <w:webHidden/>
          </w:rPr>
          <w:fldChar w:fldCharType="end"/>
        </w:r>
      </w:hyperlink>
    </w:p>
    <w:p w14:paraId="46641E10" w14:textId="1238E50B" w:rsidR="00941321" w:rsidRDefault="002D10B8">
      <w:pPr>
        <w:pStyle w:val="TOC3"/>
        <w:rPr>
          <w:rFonts w:asciiTheme="minorHAnsi" w:eastAsiaTheme="minorEastAsia" w:hAnsiTheme="minorHAnsi" w:cstheme="minorBidi"/>
          <w:color w:val="auto"/>
          <w:szCs w:val="22"/>
        </w:rPr>
      </w:pPr>
      <w:hyperlink w:anchor="_Toc121996073" w:history="1">
        <w:r w:rsidR="00941321" w:rsidRPr="00447D1D">
          <w:rPr>
            <w:rStyle w:val="Hyperlink"/>
          </w:rPr>
          <w:t>Conduct experienced from the retailers and wholesaler</w:t>
        </w:r>
        <w:r w:rsidR="00941321">
          <w:rPr>
            <w:webHidden/>
          </w:rPr>
          <w:tab/>
        </w:r>
        <w:r w:rsidR="00941321">
          <w:rPr>
            <w:webHidden/>
          </w:rPr>
          <w:fldChar w:fldCharType="begin"/>
        </w:r>
        <w:r w:rsidR="00941321">
          <w:rPr>
            <w:webHidden/>
          </w:rPr>
          <w:instrText xml:space="preserve"> PAGEREF _Toc121996073 \h </w:instrText>
        </w:r>
        <w:r w:rsidR="00941321">
          <w:rPr>
            <w:webHidden/>
          </w:rPr>
        </w:r>
        <w:r w:rsidR="00941321">
          <w:rPr>
            <w:webHidden/>
          </w:rPr>
          <w:fldChar w:fldCharType="separate"/>
        </w:r>
        <w:r w:rsidR="00736337">
          <w:rPr>
            <w:webHidden/>
          </w:rPr>
          <w:t>15</w:t>
        </w:r>
        <w:r w:rsidR="00941321">
          <w:rPr>
            <w:webHidden/>
          </w:rPr>
          <w:fldChar w:fldCharType="end"/>
        </w:r>
      </w:hyperlink>
    </w:p>
    <w:p w14:paraId="09E21C5D" w14:textId="3A5C603C" w:rsidR="00941321" w:rsidRDefault="002D10B8">
      <w:pPr>
        <w:pStyle w:val="TOC3"/>
        <w:rPr>
          <w:rFonts w:asciiTheme="minorHAnsi" w:eastAsiaTheme="minorEastAsia" w:hAnsiTheme="minorHAnsi" w:cstheme="minorBidi"/>
          <w:color w:val="auto"/>
          <w:szCs w:val="22"/>
        </w:rPr>
      </w:pPr>
      <w:hyperlink w:anchor="_Toc121996074" w:history="1">
        <w:r w:rsidR="00941321" w:rsidRPr="00447D1D">
          <w:rPr>
            <w:rStyle w:val="Hyperlink"/>
          </w:rPr>
          <w:t>Raising supplier complaints</w:t>
        </w:r>
        <w:r w:rsidR="00941321">
          <w:rPr>
            <w:webHidden/>
          </w:rPr>
          <w:tab/>
        </w:r>
        <w:r w:rsidR="00941321">
          <w:rPr>
            <w:webHidden/>
          </w:rPr>
          <w:fldChar w:fldCharType="begin"/>
        </w:r>
        <w:r w:rsidR="00941321">
          <w:rPr>
            <w:webHidden/>
          </w:rPr>
          <w:instrText xml:space="preserve"> PAGEREF _Toc121996074 \h </w:instrText>
        </w:r>
        <w:r w:rsidR="00941321">
          <w:rPr>
            <w:webHidden/>
          </w:rPr>
        </w:r>
        <w:r w:rsidR="00941321">
          <w:rPr>
            <w:webHidden/>
          </w:rPr>
          <w:fldChar w:fldCharType="separate"/>
        </w:r>
        <w:r w:rsidR="00736337">
          <w:rPr>
            <w:webHidden/>
          </w:rPr>
          <w:t>18</w:t>
        </w:r>
        <w:r w:rsidR="00941321">
          <w:rPr>
            <w:webHidden/>
          </w:rPr>
          <w:fldChar w:fldCharType="end"/>
        </w:r>
      </w:hyperlink>
    </w:p>
    <w:p w14:paraId="4266D960" w14:textId="543AC756" w:rsidR="00941321" w:rsidRDefault="002D10B8">
      <w:pPr>
        <w:pStyle w:val="TOC3"/>
        <w:rPr>
          <w:rFonts w:asciiTheme="minorHAnsi" w:eastAsiaTheme="minorEastAsia" w:hAnsiTheme="minorHAnsi" w:cstheme="minorBidi"/>
          <w:color w:val="auto"/>
          <w:szCs w:val="22"/>
        </w:rPr>
      </w:pPr>
      <w:hyperlink w:anchor="_Toc121996075" w:history="1">
        <w:r w:rsidR="00941321" w:rsidRPr="00447D1D">
          <w:rPr>
            <w:rStyle w:val="Hyperlink"/>
          </w:rPr>
          <w:t>Bringing a complaint to the Independent Reviewer</w:t>
        </w:r>
        <w:r w:rsidR="00941321">
          <w:rPr>
            <w:webHidden/>
          </w:rPr>
          <w:tab/>
        </w:r>
        <w:r w:rsidR="00941321">
          <w:rPr>
            <w:webHidden/>
          </w:rPr>
          <w:fldChar w:fldCharType="begin"/>
        </w:r>
        <w:r w:rsidR="00941321">
          <w:rPr>
            <w:webHidden/>
          </w:rPr>
          <w:instrText xml:space="preserve"> PAGEREF _Toc121996075 \h </w:instrText>
        </w:r>
        <w:r w:rsidR="00941321">
          <w:rPr>
            <w:webHidden/>
          </w:rPr>
        </w:r>
        <w:r w:rsidR="00941321">
          <w:rPr>
            <w:webHidden/>
          </w:rPr>
          <w:fldChar w:fldCharType="separate"/>
        </w:r>
        <w:r w:rsidR="00736337">
          <w:rPr>
            <w:webHidden/>
          </w:rPr>
          <w:t>19</w:t>
        </w:r>
        <w:r w:rsidR="00941321">
          <w:rPr>
            <w:webHidden/>
          </w:rPr>
          <w:fldChar w:fldCharType="end"/>
        </w:r>
      </w:hyperlink>
    </w:p>
    <w:p w14:paraId="7EAE1D8D" w14:textId="467494B2" w:rsidR="00941321" w:rsidRDefault="002D10B8">
      <w:pPr>
        <w:pStyle w:val="TOC1"/>
        <w:rPr>
          <w:rFonts w:asciiTheme="minorHAnsi" w:eastAsiaTheme="minorEastAsia" w:hAnsiTheme="minorHAnsi" w:cstheme="minorBidi"/>
          <w:b w:val="0"/>
          <w:color w:val="auto"/>
        </w:rPr>
      </w:pPr>
      <w:hyperlink w:anchor="_Toc121996076" w:history="1">
        <w:r w:rsidR="00941321" w:rsidRPr="00447D1D">
          <w:rPr>
            <w:rStyle w:val="Hyperlink"/>
          </w:rPr>
          <w:t>Overall observations</w:t>
        </w:r>
        <w:r w:rsidR="00941321">
          <w:rPr>
            <w:webHidden/>
          </w:rPr>
          <w:tab/>
        </w:r>
        <w:r w:rsidR="00941321">
          <w:rPr>
            <w:webHidden/>
          </w:rPr>
          <w:fldChar w:fldCharType="begin"/>
        </w:r>
        <w:r w:rsidR="00941321">
          <w:rPr>
            <w:webHidden/>
          </w:rPr>
          <w:instrText xml:space="preserve"> PAGEREF _Toc121996076 \h </w:instrText>
        </w:r>
        <w:r w:rsidR="00941321">
          <w:rPr>
            <w:webHidden/>
          </w:rPr>
        </w:r>
        <w:r w:rsidR="00941321">
          <w:rPr>
            <w:webHidden/>
          </w:rPr>
          <w:fldChar w:fldCharType="separate"/>
        </w:r>
        <w:r w:rsidR="00736337">
          <w:rPr>
            <w:webHidden/>
          </w:rPr>
          <w:t>20</w:t>
        </w:r>
        <w:r w:rsidR="00941321">
          <w:rPr>
            <w:webHidden/>
          </w:rPr>
          <w:fldChar w:fldCharType="end"/>
        </w:r>
      </w:hyperlink>
    </w:p>
    <w:p w14:paraId="78B096B7" w14:textId="26347CA4" w:rsidR="00941321" w:rsidRDefault="002D10B8">
      <w:pPr>
        <w:pStyle w:val="TOC1"/>
        <w:rPr>
          <w:rFonts w:asciiTheme="minorHAnsi" w:eastAsiaTheme="minorEastAsia" w:hAnsiTheme="minorHAnsi" w:cstheme="minorBidi"/>
          <w:b w:val="0"/>
          <w:color w:val="auto"/>
        </w:rPr>
      </w:pPr>
      <w:hyperlink w:anchor="_Toc121996077" w:history="1">
        <w:r w:rsidR="00941321" w:rsidRPr="00447D1D">
          <w:rPr>
            <w:rStyle w:val="Hyperlink"/>
          </w:rPr>
          <w:t>Changes to the Code recommended by the Independent Reviewer</w:t>
        </w:r>
        <w:r w:rsidR="00941321">
          <w:rPr>
            <w:webHidden/>
          </w:rPr>
          <w:tab/>
        </w:r>
        <w:r w:rsidR="00941321">
          <w:rPr>
            <w:webHidden/>
          </w:rPr>
          <w:fldChar w:fldCharType="begin"/>
        </w:r>
        <w:r w:rsidR="00941321">
          <w:rPr>
            <w:webHidden/>
          </w:rPr>
          <w:instrText xml:space="preserve"> PAGEREF _Toc121996077 \h </w:instrText>
        </w:r>
        <w:r w:rsidR="00941321">
          <w:rPr>
            <w:webHidden/>
          </w:rPr>
        </w:r>
        <w:r w:rsidR="00941321">
          <w:rPr>
            <w:webHidden/>
          </w:rPr>
          <w:fldChar w:fldCharType="separate"/>
        </w:r>
        <w:r w:rsidR="00736337">
          <w:rPr>
            <w:webHidden/>
          </w:rPr>
          <w:t>21</w:t>
        </w:r>
        <w:r w:rsidR="00941321">
          <w:rPr>
            <w:webHidden/>
          </w:rPr>
          <w:fldChar w:fldCharType="end"/>
        </w:r>
      </w:hyperlink>
    </w:p>
    <w:p w14:paraId="2992EB49" w14:textId="43805647" w:rsidR="00941321" w:rsidRDefault="002D10B8">
      <w:pPr>
        <w:pStyle w:val="TOC1"/>
        <w:rPr>
          <w:rFonts w:asciiTheme="minorHAnsi" w:eastAsiaTheme="minorEastAsia" w:hAnsiTheme="minorHAnsi" w:cstheme="minorBidi"/>
          <w:b w:val="0"/>
          <w:color w:val="auto"/>
        </w:rPr>
      </w:pPr>
      <w:hyperlink w:anchor="_Toc121996078" w:history="1">
        <w:r w:rsidR="00941321" w:rsidRPr="00447D1D">
          <w:rPr>
            <w:rStyle w:val="Hyperlink"/>
          </w:rPr>
          <w:t>Activities planned for 2023</w:t>
        </w:r>
        <w:r w:rsidR="00941321">
          <w:rPr>
            <w:webHidden/>
          </w:rPr>
          <w:tab/>
        </w:r>
        <w:r w:rsidR="00941321">
          <w:rPr>
            <w:webHidden/>
          </w:rPr>
          <w:fldChar w:fldCharType="begin"/>
        </w:r>
        <w:r w:rsidR="00941321">
          <w:rPr>
            <w:webHidden/>
          </w:rPr>
          <w:instrText xml:space="preserve"> PAGEREF _Toc121996078 \h </w:instrText>
        </w:r>
        <w:r w:rsidR="00941321">
          <w:rPr>
            <w:webHidden/>
          </w:rPr>
        </w:r>
        <w:r w:rsidR="00941321">
          <w:rPr>
            <w:webHidden/>
          </w:rPr>
          <w:fldChar w:fldCharType="separate"/>
        </w:r>
        <w:r w:rsidR="00736337">
          <w:rPr>
            <w:webHidden/>
          </w:rPr>
          <w:t>22</w:t>
        </w:r>
        <w:r w:rsidR="00941321">
          <w:rPr>
            <w:webHidden/>
          </w:rPr>
          <w:fldChar w:fldCharType="end"/>
        </w:r>
      </w:hyperlink>
    </w:p>
    <w:p w14:paraId="6F6F6D00" w14:textId="04590C4A" w:rsidR="00976FBD" w:rsidRDefault="000E0B74" w:rsidP="0056582C">
      <w:pPr>
        <w:pStyle w:val="SingleParagraph"/>
        <w:ind w:right="-2"/>
      </w:pPr>
      <w:r>
        <w:fldChar w:fldCharType="end"/>
      </w:r>
      <w:bookmarkStart w:id="4" w:name="_Toc432067103"/>
      <w:bookmarkStart w:id="5" w:name="_Toc452635030"/>
    </w:p>
    <w:p w14:paraId="20B57EFB" w14:textId="77777777" w:rsidR="00976FBD" w:rsidRDefault="00976FBD">
      <w:pPr>
        <w:spacing w:before="0" w:after="160" w:line="259" w:lineRule="auto"/>
      </w:pPr>
    </w:p>
    <w:p w14:paraId="1F1EC482" w14:textId="77777777" w:rsidR="002348B6" w:rsidRDefault="002348B6" w:rsidP="0056582C">
      <w:pPr>
        <w:pStyle w:val="SingleParagraph"/>
        <w:ind w:right="-2"/>
        <w:sectPr w:rsidR="002348B6" w:rsidSect="00EC236D">
          <w:headerReference w:type="default" r:id="rId23"/>
          <w:pgSz w:w="11906" w:h="16838" w:code="9"/>
          <w:pgMar w:top="1417" w:right="1417" w:bottom="1417" w:left="1417" w:header="709" w:footer="709" w:gutter="0"/>
          <w:cols w:space="708"/>
          <w:docGrid w:linePitch="360"/>
        </w:sectPr>
      </w:pPr>
    </w:p>
    <w:p w14:paraId="7DE26CEA" w14:textId="0F4D7405" w:rsidR="00405D3F" w:rsidRPr="004238BB" w:rsidRDefault="00475085" w:rsidP="004238BB">
      <w:pPr>
        <w:pStyle w:val="Heading1"/>
      </w:pPr>
      <w:bookmarkStart w:id="6" w:name="_Toc121996053"/>
      <w:bookmarkStart w:id="7" w:name="_Hlk118992361"/>
      <w:r w:rsidRPr="004238BB">
        <w:lastRenderedPageBreak/>
        <w:t>Foreword</w:t>
      </w:r>
      <w:bookmarkEnd w:id="4"/>
      <w:bookmarkEnd w:id="5"/>
      <w:bookmarkEnd w:id="6"/>
    </w:p>
    <w:tbl>
      <w:tblPr>
        <w:tblStyle w:val="TableGrid"/>
        <w:tblW w:w="9160" w:type="dxa"/>
        <w:tblInd w:w="-108" w:type="dxa"/>
        <w:tblCellMar>
          <w:left w:w="0" w:type="dxa"/>
          <w:right w:w="0" w:type="dxa"/>
        </w:tblCellMar>
        <w:tblLook w:val="04A0" w:firstRow="1" w:lastRow="0" w:firstColumn="1" w:lastColumn="0" w:noHBand="0" w:noVBand="1"/>
      </w:tblPr>
      <w:tblGrid>
        <w:gridCol w:w="6629"/>
        <w:gridCol w:w="2531"/>
      </w:tblGrid>
      <w:tr w:rsidR="001658C4" w14:paraId="53B7B556" w14:textId="77777777" w:rsidTr="00C0226B">
        <w:trPr>
          <w:trHeight w:val="3783"/>
        </w:trPr>
        <w:tc>
          <w:tcPr>
            <w:tcW w:w="6629" w:type="dxa"/>
            <w:shd w:val="clear" w:color="auto" w:fill="auto"/>
          </w:tcPr>
          <w:p w14:paraId="0100A075" w14:textId="77777777" w:rsidR="001658C4" w:rsidRPr="001658C4" w:rsidRDefault="001658C4" w:rsidP="00C0226B">
            <w:pPr>
              <w:ind w:left="113" w:right="113"/>
              <w:jc w:val="left"/>
              <w:rPr>
                <w:sz w:val="22"/>
                <w:szCs w:val="22"/>
              </w:rPr>
            </w:pPr>
            <w:r w:rsidRPr="001658C4">
              <w:rPr>
                <w:sz w:val="22"/>
                <w:szCs w:val="22"/>
              </w:rPr>
              <w:t>I am pleased to present the Annual Report for 2021–22, prepared in accordance with my responsibilities as the Independent Reviewer under the Food and Grocery Code of Conduct (the Code).</w:t>
            </w:r>
          </w:p>
          <w:p w14:paraId="106CE7CC" w14:textId="77777777" w:rsidR="00B747ED" w:rsidRDefault="001658C4" w:rsidP="00C0226B">
            <w:pPr>
              <w:ind w:left="113" w:right="113"/>
              <w:rPr>
                <w:sz w:val="22"/>
                <w:szCs w:val="22"/>
              </w:rPr>
            </w:pPr>
            <w:r w:rsidRPr="001658C4">
              <w:rPr>
                <w:sz w:val="22"/>
                <w:szCs w:val="22"/>
              </w:rPr>
              <w:t>This Annual Report includes key findings from ‘deep dives’ that I conducted with suppliers from March to May this year, and the annual survey of suppliers, retailers, and wholesalers that I conducted in September this year. A key element of my role is to engage and consult with these parties and the Code</w:t>
            </w:r>
            <w:r>
              <w:rPr>
                <w:sz w:val="22"/>
                <w:szCs w:val="22"/>
              </w:rPr>
              <w:t> </w:t>
            </w:r>
            <w:r w:rsidRPr="001658C4">
              <w:rPr>
                <w:sz w:val="22"/>
                <w:szCs w:val="22"/>
              </w:rPr>
              <w:t xml:space="preserve">Arbiters. </w:t>
            </w:r>
          </w:p>
          <w:p w14:paraId="6650C9B4" w14:textId="5AB87512" w:rsidR="001658C4" w:rsidRPr="00B747ED" w:rsidRDefault="00B747ED" w:rsidP="00C0226B">
            <w:pPr>
              <w:spacing w:after="0"/>
              <w:ind w:left="113" w:right="113"/>
              <w:jc w:val="left"/>
            </w:pPr>
            <w:r w:rsidRPr="00B747ED">
              <w:rPr>
                <w:sz w:val="22"/>
                <w:szCs w:val="22"/>
              </w:rPr>
              <w:t xml:space="preserve">I have also consulted with the </w:t>
            </w:r>
            <w:bookmarkStart w:id="8" w:name="_Hlk119401631"/>
            <w:r w:rsidRPr="00B747ED">
              <w:rPr>
                <w:sz w:val="22"/>
                <w:szCs w:val="22"/>
              </w:rPr>
              <w:t>Australian Competition and Consumer Commission (ACCC), the Australian Small Business and Family Enterprises Ombudsman (ASBFEO), the Australian Food and Grocery Council (AFGC), the National Farmers’ Federation Horticulture Council, and numerous other bodies representing suppliers.</w:t>
            </w:r>
            <w:bookmarkEnd w:id="8"/>
          </w:p>
        </w:tc>
        <w:tc>
          <w:tcPr>
            <w:tcW w:w="2531" w:type="dxa"/>
            <w:shd w:val="clear" w:color="auto" w:fill="auto"/>
            <w:vAlign w:val="center"/>
          </w:tcPr>
          <w:p w14:paraId="4456DF0C" w14:textId="15179969" w:rsidR="001658C4" w:rsidRDefault="001658C4" w:rsidP="00B747ED">
            <w:pPr>
              <w:spacing w:before="100" w:beforeAutospacing="1" w:after="0"/>
              <w:jc w:val="left"/>
            </w:pPr>
            <w:r>
              <w:rPr>
                <w:noProof/>
                <w:szCs w:val="22"/>
              </w:rPr>
              <w:drawing>
                <wp:anchor distT="0" distB="0" distL="114300" distR="114300" simplePos="0" relativeHeight="251659264" behindDoc="0" locked="0" layoutInCell="1" allowOverlap="1" wp14:anchorId="45650778" wp14:editId="3CEC27BE">
                  <wp:simplePos x="5257800" y="1888067"/>
                  <wp:positionH relativeFrom="margin">
                    <wp:align>right</wp:align>
                  </wp:positionH>
                  <wp:positionV relativeFrom="margin">
                    <wp:align>top</wp:align>
                  </wp:positionV>
                  <wp:extent cx="1351501" cy="2058035"/>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1501" cy="2058035"/>
                          </a:xfrm>
                          <a:prstGeom prst="rect">
                            <a:avLst/>
                          </a:prstGeom>
                          <a:noFill/>
                          <a:ln>
                            <a:noFill/>
                          </a:ln>
                        </pic:spPr>
                      </pic:pic>
                    </a:graphicData>
                  </a:graphic>
                </wp:anchor>
              </w:drawing>
            </w:r>
          </w:p>
        </w:tc>
      </w:tr>
    </w:tbl>
    <w:p w14:paraId="28CDCF40" w14:textId="211D6F59" w:rsidR="00F71E74" w:rsidRPr="00027910" w:rsidRDefault="00C07921" w:rsidP="004238BB">
      <w:r w:rsidRPr="00027910">
        <w:t xml:space="preserve">I met </w:t>
      </w:r>
      <w:r w:rsidR="00F71E74" w:rsidRPr="00027910">
        <w:t xml:space="preserve">with </w:t>
      </w:r>
      <w:r w:rsidRPr="00027910">
        <w:t xml:space="preserve">all four </w:t>
      </w:r>
      <w:r w:rsidR="00F71E74" w:rsidRPr="00027910">
        <w:t>Code Arbiters</w:t>
      </w:r>
      <w:r w:rsidR="00A57656" w:rsidRPr="00027910">
        <w:t xml:space="preserve"> as a group, </w:t>
      </w:r>
      <w:r w:rsidR="00F71E74" w:rsidRPr="00027910">
        <w:t>to discuss</w:t>
      </w:r>
      <w:r w:rsidR="006556EF" w:rsidRPr="00027910">
        <w:t xml:space="preserve"> how</w:t>
      </w:r>
      <w:r w:rsidR="00F71E74" w:rsidRPr="00027910">
        <w:t xml:space="preserve"> their processes were</w:t>
      </w:r>
      <w:r w:rsidR="008D35A0" w:rsidRPr="00027910">
        <w:t xml:space="preserve"> being </w:t>
      </w:r>
      <w:r w:rsidR="007C5695" w:rsidRPr="00027910">
        <w:t xml:space="preserve">implemented </w:t>
      </w:r>
      <w:r w:rsidR="00A336B9" w:rsidRPr="00027910">
        <w:t>and to encourage the sharing of good practice</w:t>
      </w:r>
      <w:r w:rsidR="00BD028C" w:rsidRPr="00027910">
        <w:t>s</w:t>
      </w:r>
      <w:r w:rsidR="003E7DEA">
        <w:t xml:space="preserve">. </w:t>
      </w:r>
    </w:p>
    <w:p w14:paraId="42D62AE9" w14:textId="15C496A6" w:rsidR="008D5E01" w:rsidRPr="00027910" w:rsidRDefault="008D5E01" w:rsidP="004238BB">
      <w:r w:rsidRPr="00027910">
        <w:t>I found it useful to have an exchange of views with the Groceries Code Adjudicator in the UK, Mr Mark White, to learn from his experiences and to discuss industry</w:t>
      </w:r>
      <w:r w:rsidR="003E7DEA">
        <w:noBreakHyphen/>
      </w:r>
      <w:r w:rsidRPr="00027910">
        <w:t>wide trends</w:t>
      </w:r>
      <w:r w:rsidR="008023EA" w:rsidRPr="00027910">
        <w:t xml:space="preserve"> such as inflationary induced cost increases</w:t>
      </w:r>
      <w:r w:rsidRPr="00027910">
        <w:t>.</w:t>
      </w:r>
    </w:p>
    <w:p w14:paraId="2FDC7014" w14:textId="0FFC893A" w:rsidR="008D35A0" w:rsidRPr="00027910" w:rsidRDefault="008D35A0" w:rsidP="004238BB">
      <w:r w:rsidRPr="00027910">
        <w:t xml:space="preserve">I worked with the </w:t>
      </w:r>
      <w:r w:rsidR="00BB64B7" w:rsidRPr="00027910">
        <w:t xml:space="preserve">Code Arbiters, </w:t>
      </w:r>
      <w:r w:rsidR="008D5492" w:rsidRPr="00027910">
        <w:t>Code Signatories</w:t>
      </w:r>
      <w:r w:rsidR="00D864C6" w:rsidRPr="00027910">
        <w:t>,</w:t>
      </w:r>
      <w:r w:rsidR="00BB64B7" w:rsidRPr="00027910">
        <w:t xml:space="preserve"> and </w:t>
      </w:r>
      <w:r w:rsidR="00A336B9" w:rsidRPr="00027910">
        <w:t>supplier r</w:t>
      </w:r>
      <w:r w:rsidR="00BB64B7" w:rsidRPr="00027910">
        <w:t>epresentatives to set up new arrangements for Code Arbiters to receive supplier complaints informally</w:t>
      </w:r>
      <w:r w:rsidR="00A57656" w:rsidRPr="00027910">
        <w:t xml:space="preserve"> – i.e. </w:t>
      </w:r>
      <w:r w:rsidR="00A02704" w:rsidRPr="00027910">
        <w:t xml:space="preserve">without </w:t>
      </w:r>
      <w:r w:rsidR="002E7990">
        <w:t xml:space="preserve">lodging a formal complaint under </w:t>
      </w:r>
      <w:r w:rsidR="008023EA" w:rsidRPr="00027910">
        <w:t xml:space="preserve">the </w:t>
      </w:r>
      <w:r w:rsidR="008D5492" w:rsidRPr="00027910">
        <w:t>Code</w:t>
      </w:r>
      <w:r w:rsidR="00A02704" w:rsidRPr="00027910">
        <w:t xml:space="preserve">. </w:t>
      </w:r>
    </w:p>
    <w:p w14:paraId="38F5F1EF" w14:textId="5D011F22" w:rsidR="00A336B9" w:rsidRPr="00027910" w:rsidRDefault="00A336B9" w:rsidP="004238BB">
      <w:r w:rsidRPr="00027910">
        <w:t xml:space="preserve">I presented at a number of </w:t>
      </w:r>
      <w:r w:rsidR="00A562C9" w:rsidRPr="00027910">
        <w:t xml:space="preserve">industry </w:t>
      </w:r>
      <w:r w:rsidRPr="00027910">
        <w:t>events, notably the AFGC</w:t>
      </w:r>
      <w:r w:rsidR="003E7DEA">
        <w:t>’</w:t>
      </w:r>
      <w:r w:rsidRPr="00027910">
        <w:t xml:space="preserve">s Annual Conference, and I have published my views in </w:t>
      </w:r>
      <w:r w:rsidR="00A57656" w:rsidRPr="00027910">
        <w:t xml:space="preserve">a </w:t>
      </w:r>
      <w:r w:rsidRPr="00027910">
        <w:t xml:space="preserve">number of media articles. I have also published the voluntary undertakings that I received from the four </w:t>
      </w:r>
      <w:r w:rsidR="008D5492" w:rsidRPr="00027910">
        <w:t>Code Signatories</w:t>
      </w:r>
      <w:r w:rsidR="00E076D5" w:rsidRPr="00027910">
        <w:t>.</w:t>
      </w:r>
    </w:p>
    <w:p w14:paraId="16684234" w14:textId="426F2F5E" w:rsidR="00A57656" w:rsidRPr="00027910" w:rsidRDefault="00410C34" w:rsidP="004238BB">
      <w:r w:rsidRPr="00027910">
        <w:t>In addition to publishing last year</w:t>
      </w:r>
      <w:r w:rsidR="003E7DEA">
        <w:t>’</w:t>
      </w:r>
      <w:r w:rsidRPr="00027910">
        <w:t xml:space="preserve">s Annual Report, I provided a </w:t>
      </w:r>
      <w:r w:rsidR="003E7DEA">
        <w:t>‘</w:t>
      </w:r>
      <w:r w:rsidRPr="00027910">
        <w:t>private volume</w:t>
      </w:r>
      <w:r w:rsidR="003E7DEA">
        <w:t>’</w:t>
      </w:r>
      <w:r w:rsidRPr="00027910">
        <w:t xml:space="preserve"> </w:t>
      </w:r>
      <w:r w:rsidR="005F0391" w:rsidRPr="00027910">
        <w:t xml:space="preserve">of data to each </w:t>
      </w:r>
      <w:r w:rsidR="008D5492" w:rsidRPr="00027910">
        <w:t>Code Signatory</w:t>
      </w:r>
      <w:r w:rsidR="005F0391" w:rsidRPr="00027910">
        <w:t>, highlighting their performance against each other – in effect</w:t>
      </w:r>
      <w:r w:rsidR="00A562C9" w:rsidRPr="00027910">
        <w:t>,</w:t>
      </w:r>
      <w:r w:rsidR="005F0391" w:rsidRPr="00027910">
        <w:t xml:space="preserve"> a peer ranking from a supplier perspective. I propose to </w:t>
      </w:r>
      <w:r w:rsidR="006D0675" w:rsidRPr="00027910">
        <w:t xml:space="preserve">produce the </w:t>
      </w:r>
      <w:r w:rsidR="008D5E01" w:rsidRPr="00027910">
        <w:t xml:space="preserve">private volume of </w:t>
      </w:r>
      <w:r w:rsidR="006D0675" w:rsidRPr="00027910">
        <w:t>supplier rankings again this year</w:t>
      </w:r>
      <w:r w:rsidR="005F0391" w:rsidRPr="00027910">
        <w:t xml:space="preserve">. </w:t>
      </w:r>
    </w:p>
    <w:p w14:paraId="3F078AB3" w14:textId="53557686" w:rsidR="003D5C10" w:rsidRPr="00027910" w:rsidRDefault="003D5C10" w:rsidP="004238BB">
      <w:r w:rsidRPr="00027910">
        <w:t xml:space="preserve">During the year I notified the ACCC that a </w:t>
      </w:r>
      <w:r w:rsidR="008D5492" w:rsidRPr="00027910">
        <w:t>Code Signatory</w:t>
      </w:r>
      <w:r w:rsidRPr="00027910">
        <w:t xml:space="preserve"> did not </w:t>
      </w:r>
      <w:r w:rsidR="00405D3F" w:rsidRPr="00027910">
        <w:t xml:space="preserve">meet </w:t>
      </w:r>
      <w:r w:rsidRPr="00027910">
        <w:t xml:space="preserve">the reporting requirements of the Code. I am satisfied that this is a transition issue, and that appropriate measures have been taken by that </w:t>
      </w:r>
      <w:r w:rsidR="008D5492" w:rsidRPr="00027910">
        <w:t>Code Signatory</w:t>
      </w:r>
      <w:r w:rsidR="008D5E01" w:rsidRPr="00027910">
        <w:t>.</w:t>
      </w:r>
    </w:p>
    <w:p w14:paraId="1B7AB3D7" w14:textId="31EDA9CF" w:rsidR="00C07921" w:rsidRPr="00027910" w:rsidRDefault="00C07921" w:rsidP="004238BB">
      <w:r w:rsidRPr="00027910">
        <w:t xml:space="preserve">I did not receive any supplier requests </w:t>
      </w:r>
      <w:r w:rsidR="003D5C10" w:rsidRPr="00027910">
        <w:t xml:space="preserve">during the reporting period </w:t>
      </w:r>
      <w:r w:rsidRPr="00027910">
        <w:t xml:space="preserve">to review </w:t>
      </w:r>
      <w:r w:rsidR="008023EA" w:rsidRPr="00027910">
        <w:t xml:space="preserve">the </w:t>
      </w:r>
      <w:r w:rsidRPr="00027910">
        <w:t>complaints handling process</w:t>
      </w:r>
      <w:r w:rsidR="008023EA" w:rsidRPr="00027910">
        <w:t>es</w:t>
      </w:r>
      <w:r w:rsidRPr="00027910">
        <w:t xml:space="preserve"> conducted by the Code Arbiters </w:t>
      </w:r>
      <w:r w:rsidR="00BD028C" w:rsidRPr="00027910">
        <w:t>for the 12</w:t>
      </w:r>
      <w:r w:rsidR="00A336B9" w:rsidRPr="00027910">
        <w:t xml:space="preserve"> months ended 30 June 2022</w:t>
      </w:r>
      <w:r w:rsidR="00BD028C" w:rsidRPr="00027910">
        <w:t>. H</w:t>
      </w:r>
      <w:r w:rsidRPr="00027910">
        <w:t xml:space="preserve">owever, I received </w:t>
      </w:r>
      <w:r w:rsidR="00BD028C" w:rsidRPr="00027910">
        <w:t xml:space="preserve">such a request a few weeks after the reporting period which </w:t>
      </w:r>
      <w:r w:rsidR="00D451A5" w:rsidRPr="00027910">
        <w:t xml:space="preserve">related to activities during the reporting period. Therefore, </w:t>
      </w:r>
      <w:r w:rsidRPr="00027910">
        <w:t xml:space="preserve">I have included </w:t>
      </w:r>
      <w:r w:rsidR="00D451A5" w:rsidRPr="00027910">
        <w:t xml:space="preserve">references to that complaint </w:t>
      </w:r>
      <w:r w:rsidRPr="00027910">
        <w:t>in this report</w:t>
      </w:r>
      <w:r w:rsidR="00D451A5" w:rsidRPr="00027910">
        <w:t>.</w:t>
      </w:r>
    </w:p>
    <w:p w14:paraId="4B292163" w14:textId="5A63B63F" w:rsidR="00B747ED" w:rsidRDefault="0086342E" w:rsidP="004238BB">
      <w:pPr>
        <w:sectPr w:rsidR="00B747ED" w:rsidSect="00B747ED">
          <w:type w:val="continuous"/>
          <w:pgSz w:w="11906" w:h="16838" w:code="9"/>
          <w:pgMar w:top="1417" w:right="1417" w:bottom="1417" w:left="1417" w:header="709" w:footer="709" w:gutter="0"/>
          <w:cols w:space="708"/>
          <w:docGrid w:linePitch="360"/>
        </w:sectPr>
      </w:pPr>
      <w:r w:rsidRPr="00027910">
        <w:t>My overall assessment is that</w:t>
      </w:r>
      <w:r w:rsidR="00C07921" w:rsidRPr="00027910">
        <w:t xml:space="preserve"> the Code is having a strong positive impact on the dealings between suppliers and retailers</w:t>
      </w:r>
      <w:r w:rsidR="00BD028C" w:rsidRPr="00027910">
        <w:t>/</w:t>
      </w:r>
      <w:r w:rsidR="00C07921" w:rsidRPr="00027910">
        <w:t>wholesaler in the food and grocery sector.</w:t>
      </w:r>
      <w:r w:rsidR="00CD7750" w:rsidRPr="00027910">
        <w:t xml:space="preserve"> </w:t>
      </w:r>
      <w:r w:rsidRPr="00027910">
        <w:t xml:space="preserve">However, my dealings </w:t>
      </w:r>
      <w:r w:rsidR="00FB3B89">
        <w:t xml:space="preserve">this year </w:t>
      </w:r>
      <w:r w:rsidRPr="00027910">
        <w:t xml:space="preserve">with the Coles Group, and its Code Arbiter, have caused me to conclude that </w:t>
      </w:r>
      <w:r w:rsidR="003D5C10" w:rsidRPr="00027910">
        <w:t xml:space="preserve">some important </w:t>
      </w:r>
      <w:r w:rsidRPr="00027910">
        <w:t>changes are required to the Code.</w:t>
      </w:r>
    </w:p>
    <w:p w14:paraId="51547286" w14:textId="77777777" w:rsidR="008D45DA" w:rsidRPr="00027910" w:rsidRDefault="00410C34" w:rsidP="004238BB">
      <w:pPr>
        <w:rPr>
          <w:szCs w:val="22"/>
        </w:rPr>
      </w:pPr>
      <w:r w:rsidRPr="00027910">
        <w:rPr>
          <w:szCs w:val="22"/>
        </w:rPr>
        <w:lastRenderedPageBreak/>
        <w:t xml:space="preserve">Finally, I would like to again record my personal thanks to the very capable members of the Market Conduct Division of Treasury who supported my work and provided expert advice over the past year. </w:t>
      </w:r>
    </w:p>
    <w:p w14:paraId="4F82744D" w14:textId="77777777" w:rsidR="004E3155" w:rsidRDefault="008D45DA" w:rsidP="009D517F">
      <w:pPr>
        <w:rPr>
          <w:noProof/>
        </w:rPr>
      </w:pPr>
      <w:r w:rsidRPr="00027910">
        <w:t xml:space="preserve">This annual report </w:t>
      </w:r>
      <w:r w:rsidR="00405D3F" w:rsidRPr="00027910">
        <w:t xml:space="preserve">will be provided to </w:t>
      </w:r>
      <w:r w:rsidRPr="00027910">
        <w:t>the ACCC and published on the Independent Reviewer</w:t>
      </w:r>
      <w:r w:rsidR="003E7DEA">
        <w:t>’</w:t>
      </w:r>
      <w:r w:rsidRPr="00027910">
        <w:t>s website.</w:t>
      </w:r>
      <w:r w:rsidR="009D517F" w:rsidRPr="009D517F">
        <w:rPr>
          <w:noProof/>
        </w:rPr>
        <w:t xml:space="preserve"> </w:t>
      </w:r>
    </w:p>
    <w:p w14:paraId="3E3C44A9" w14:textId="70653B4C" w:rsidR="001E468A" w:rsidRDefault="001E468A" w:rsidP="009D517F">
      <w:r w:rsidRPr="001E468A">
        <w:t>If you would like to have a confidential discussion with me on matters relating to the Code, please contact me via the web form on the </w:t>
      </w:r>
      <w:hyperlink r:id="rId25" w:tgtFrame="_blank" w:tooltip="https://grocerycodereviewer.gov.au/about" w:history="1">
        <w:r w:rsidR="009C7ABC">
          <w:rPr>
            <w:rStyle w:val="Hyperlink"/>
          </w:rPr>
          <w:t>Independent Reviewer's website</w:t>
        </w:r>
      </w:hyperlink>
      <w:r w:rsidRPr="001E468A">
        <w:t>.</w:t>
      </w:r>
    </w:p>
    <w:p w14:paraId="10768408" w14:textId="15811BFC" w:rsidR="00B747ED" w:rsidRDefault="00B747ED" w:rsidP="009D517F"/>
    <w:p w14:paraId="151B5C34" w14:textId="76F8DCDD" w:rsidR="00B747ED" w:rsidRDefault="00B747ED" w:rsidP="009D517F">
      <w:r>
        <w:rPr>
          <w:noProof/>
        </w:rPr>
        <w:drawing>
          <wp:inline distT="0" distB="0" distL="0" distR="0" wp14:anchorId="4F486FAA" wp14:editId="2F94B537">
            <wp:extent cx="1710055" cy="762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0055" cy="762000"/>
                    </a:xfrm>
                    <a:prstGeom prst="rect">
                      <a:avLst/>
                    </a:prstGeom>
                    <a:noFill/>
                    <a:ln>
                      <a:noFill/>
                    </a:ln>
                  </pic:spPr>
                </pic:pic>
              </a:graphicData>
            </a:graphic>
          </wp:inline>
        </w:drawing>
      </w:r>
    </w:p>
    <w:p w14:paraId="5077561E" w14:textId="59587354" w:rsidR="00B747ED" w:rsidRPr="00027910" w:rsidRDefault="00B747ED" w:rsidP="009D517F">
      <w:r w:rsidRPr="00B747ED">
        <w:rPr>
          <w:b/>
          <w:bCs/>
        </w:rPr>
        <w:t xml:space="preserve">Chris Leptos </w:t>
      </w:r>
      <w:r w:rsidRPr="00B747ED">
        <w:t>AO</w:t>
      </w:r>
    </w:p>
    <w:p w14:paraId="0BAE118A" w14:textId="615748E4" w:rsidR="00213E6A" w:rsidRPr="0017352F" w:rsidRDefault="00410C34" w:rsidP="009D517F">
      <w:pPr>
        <w:pStyle w:val="Heading1"/>
      </w:pPr>
      <w:r w:rsidRPr="003D5C10">
        <w:br w:type="column"/>
      </w:r>
      <w:bookmarkStart w:id="9" w:name="_Toc121996054"/>
      <w:bookmarkEnd w:id="7"/>
      <w:r w:rsidR="00213E6A" w:rsidRPr="0017352F">
        <w:lastRenderedPageBreak/>
        <w:t>Overview of the Code</w:t>
      </w:r>
      <w:bookmarkEnd w:id="9"/>
    </w:p>
    <w:p w14:paraId="42D730CF" w14:textId="7D74DF24" w:rsidR="003D689B" w:rsidRPr="003D689B" w:rsidRDefault="003D689B" w:rsidP="004238BB">
      <w:r w:rsidRPr="003D689B">
        <w:t xml:space="preserve">The Code is a voluntary code that was introduced in 2015 under the </w:t>
      </w:r>
      <w:r w:rsidRPr="003D689B">
        <w:rPr>
          <w:i/>
          <w:iCs/>
        </w:rPr>
        <w:t>Competition and Consumer Act 2010</w:t>
      </w:r>
      <w:r>
        <w:t xml:space="preserve">, to address harmful practices in </w:t>
      </w:r>
      <w:r w:rsidR="00324DBA">
        <w:t xml:space="preserve">the </w:t>
      </w:r>
      <w:r>
        <w:t>grocery sector stemming from an imbalance of bargaining power between retailers</w:t>
      </w:r>
      <w:r w:rsidR="00C72671">
        <w:t>/</w:t>
      </w:r>
      <w:r>
        <w:t>wholesaler and suppliers.</w:t>
      </w:r>
    </w:p>
    <w:p w14:paraId="4CBD26F9" w14:textId="3FAC8613" w:rsidR="003D689B" w:rsidRDefault="003D689B" w:rsidP="004238BB">
      <w:r>
        <w:t>The Code has four objectives</w:t>
      </w:r>
      <w:r w:rsidR="00324DBA">
        <w:t>:</w:t>
      </w:r>
      <w:r>
        <w:t xml:space="preserve"> </w:t>
      </w:r>
    </w:p>
    <w:p w14:paraId="0F8CF0BB" w14:textId="412BCC2B" w:rsidR="003D689B" w:rsidRPr="004238BB" w:rsidRDefault="003D689B" w:rsidP="004238BB">
      <w:pPr>
        <w:pStyle w:val="Bullet"/>
      </w:pPr>
      <w:r w:rsidRPr="004238BB">
        <w:t>to regulate standards of business conduct in the grocery supply chain and to build and sustain trust and cooperation throughout that chain</w:t>
      </w:r>
    </w:p>
    <w:p w14:paraId="2CFBFA58" w14:textId="0164C103" w:rsidR="003D689B" w:rsidRPr="004238BB" w:rsidRDefault="003D689B" w:rsidP="004238BB">
      <w:pPr>
        <w:pStyle w:val="Bullet"/>
      </w:pPr>
      <w:r w:rsidRPr="004238BB">
        <w:t>to ensure transparency and certainty in commercial transactions in the grocery supply chain and to minimise disputes arising from a lack of certainty in respect of the commercial terms agreed between parties</w:t>
      </w:r>
    </w:p>
    <w:p w14:paraId="59BFD596" w14:textId="590B4CC3" w:rsidR="003D689B" w:rsidRPr="004238BB" w:rsidRDefault="003D689B" w:rsidP="004238BB">
      <w:pPr>
        <w:pStyle w:val="Bullet"/>
      </w:pPr>
      <w:r w:rsidRPr="004238BB">
        <w:t>to provide an effective, fair and equitable dispute resolution process for raising and investigating complaints and resolving disputes</w:t>
      </w:r>
      <w:r w:rsidR="00443D7A" w:rsidRPr="004238BB">
        <w:t xml:space="preserve"> arising between retailers or wholesalers and suppliers</w:t>
      </w:r>
      <w:r w:rsidRPr="004238BB">
        <w:t xml:space="preserve"> </w:t>
      </w:r>
    </w:p>
    <w:p w14:paraId="72569645" w14:textId="1F572A64" w:rsidR="00213E6A" w:rsidRPr="004238BB" w:rsidRDefault="003D689B" w:rsidP="004238BB">
      <w:pPr>
        <w:pStyle w:val="Bullet"/>
      </w:pPr>
      <w:r w:rsidRPr="004238BB">
        <w:t>to promote and support good faith in commercial dealings</w:t>
      </w:r>
      <w:r w:rsidR="00443D7A" w:rsidRPr="004238BB">
        <w:t xml:space="preserve"> between retailers, wholesalers and suppliers</w:t>
      </w:r>
      <w:r w:rsidRPr="004238BB">
        <w:t>.</w:t>
      </w:r>
    </w:p>
    <w:p w14:paraId="26E8077A" w14:textId="7868E0D6" w:rsidR="000B4456" w:rsidRDefault="003D689B" w:rsidP="004238BB">
      <w:r w:rsidRPr="003D689B">
        <w:t xml:space="preserve">Retailers and wholesalers in the food and grocery sector may sign up as </w:t>
      </w:r>
      <w:r w:rsidR="000B41A0">
        <w:t>S</w:t>
      </w:r>
      <w:r w:rsidRPr="003D689B">
        <w:t>ignatories to</w:t>
      </w:r>
      <w:r>
        <w:t xml:space="preserve"> be regulated by</w:t>
      </w:r>
      <w:r w:rsidRPr="003D689B">
        <w:t xml:space="preserve"> the Code. Woolworths</w:t>
      </w:r>
      <w:r w:rsidR="00443D7A">
        <w:t xml:space="preserve"> Group (Woolworths)</w:t>
      </w:r>
      <w:r w:rsidRPr="003D689B">
        <w:t>, Coles</w:t>
      </w:r>
      <w:r w:rsidR="00443D7A">
        <w:t xml:space="preserve"> Group Limited (Coles)</w:t>
      </w:r>
      <w:r w:rsidRPr="003D689B">
        <w:t>, Aldi</w:t>
      </w:r>
      <w:r w:rsidR="00443D7A">
        <w:t xml:space="preserve"> Australia (Aldi)</w:t>
      </w:r>
      <w:r w:rsidR="00267FA3">
        <w:t>,</w:t>
      </w:r>
      <w:r w:rsidRPr="003D689B">
        <w:t xml:space="preserve"> and Metcash </w:t>
      </w:r>
      <w:r w:rsidR="00443D7A">
        <w:t xml:space="preserve">Food and Grocery (Metcash) </w:t>
      </w:r>
      <w:r w:rsidRPr="003D689B">
        <w:t xml:space="preserve">have signed on as </w:t>
      </w:r>
      <w:r w:rsidR="000B41A0">
        <w:t>S</w:t>
      </w:r>
      <w:r w:rsidRPr="003D689B">
        <w:t>ignatories.</w:t>
      </w:r>
    </w:p>
    <w:p w14:paraId="3B5077B8" w14:textId="00D5BA52" w:rsidR="00E667FD" w:rsidRDefault="00E667FD" w:rsidP="004238BB">
      <w:r>
        <w:t>A review of the Code</w:t>
      </w:r>
      <w:r w:rsidR="003E7DEA">
        <w:t>’</w:t>
      </w:r>
      <w:r>
        <w:t>s dispute resolution processes contained in Part 5 of the Code is currently underway.</w:t>
      </w:r>
      <w:r w:rsidRPr="00DE4A4A">
        <w:t xml:space="preserve"> </w:t>
      </w:r>
      <w:r w:rsidR="00DE4A4A" w:rsidRPr="00DE4A4A">
        <w:t xml:space="preserve">A report is due </w:t>
      </w:r>
      <w:r w:rsidR="00DE4A4A">
        <w:t>to the Government by 30 April 2023 on the effectiveness of the dispute resolution provisions to date and, if appropriate, recommend improvements to the process</w:t>
      </w:r>
      <w:r w:rsidR="003B5853">
        <w:t>.</w:t>
      </w:r>
      <w:r w:rsidR="003B5853">
        <w:rPr>
          <w:rStyle w:val="FootnoteReference"/>
        </w:rPr>
        <w:footnoteReference w:id="2"/>
      </w:r>
    </w:p>
    <w:p w14:paraId="47AE6586" w14:textId="5A9AE52F" w:rsidR="00213E6A" w:rsidRDefault="00213E6A" w:rsidP="00213E6A">
      <w:pPr>
        <w:pStyle w:val="Heading1"/>
      </w:pPr>
      <w:bookmarkStart w:id="10" w:name="_Toc121996055"/>
      <w:r>
        <w:lastRenderedPageBreak/>
        <w:t>Food and grocery sector in 2021/2022</w:t>
      </w:r>
      <w:bookmarkEnd w:id="10"/>
    </w:p>
    <w:p w14:paraId="451860D3" w14:textId="698DF16B" w:rsidR="00213E6A" w:rsidRDefault="00213E6A" w:rsidP="004238BB">
      <w:pPr>
        <w:pStyle w:val="Heading2"/>
      </w:pPr>
      <w:bookmarkStart w:id="11" w:name="_Toc121996056"/>
      <w:r>
        <w:t xml:space="preserve">Composition of supermarket </w:t>
      </w:r>
      <w:r w:rsidR="00C72911">
        <w:t>sector</w:t>
      </w:r>
      <w:bookmarkEnd w:id="11"/>
    </w:p>
    <w:p w14:paraId="13A24F7D" w14:textId="57644180" w:rsidR="00DA5B32" w:rsidRDefault="00DA5B32" w:rsidP="00107127">
      <w:pPr>
        <w:pStyle w:val="TableSecondHeading"/>
      </w:pPr>
      <w:r w:rsidRPr="004238BB">
        <w:t xml:space="preserve">Figure 1. Food and grocery sector market share for </w:t>
      </w:r>
      <w:r w:rsidR="007C090F" w:rsidRPr="004238BB">
        <w:t xml:space="preserve">the </w:t>
      </w:r>
      <w:r w:rsidRPr="004238BB">
        <w:t>financial year 2021</w:t>
      </w:r>
      <w:r w:rsidR="00FC6590" w:rsidRPr="004238BB">
        <w:t>–</w:t>
      </w:r>
      <w:r w:rsidRPr="004238BB">
        <w:t>22</w:t>
      </w:r>
      <w:r w:rsidRPr="00FF6FFE">
        <w:rPr>
          <w:rStyle w:val="FootnoteReference"/>
        </w:rPr>
        <w:footnoteReference w:id="3"/>
      </w:r>
      <w:r w:rsidR="00D02AB8">
        <w:rPr>
          <w:noProof/>
        </w:rPr>
        <w:drawing>
          <wp:inline distT="0" distB="0" distL="0" distR="0" wp14:anchorId="4D50169F" wp14:editId="298687CA">
            <wp:extent cx="5503333" cy="2649855"/>
            <wp:effectExtent l="0" t="0" r="0" b="0"/>
            <wp:docPr id="1" name="Chart 1" descr="Woolworths has the highest market share with 37.1%, followed by Coles with 27.9%, Aldi with 9.5%, and Metcash with 6.9%. Other supermarkets make up the rest of the market with a combined 18.6% market share.">
              <a:extLst xmlns:a="http://schemas.openxmlformats.org/drawingml/2006/main">
                <a:ext uri="{FF2B5EF4-FFF2-40B4-BE49-F238E27FC236}">
                  <a16:creationId xmlns:a16="http://schemas.microsoft.com/office/drawing/2014/main" id="{77AC7525-9792-465C-A481-FFB3B2564C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FC33A8F" w14:textId="059E10AD" w:rsidR="00490637" w:rsidRDefault="00437EE1" w:rsidP="004238BB">
      <w:r>
        <w:t xml:space="preserve">The supermarket </w:t>
      </w:r>
      <w:r w:rsidR="00E51523">
        <w:t xml:space="preserve">retail and wholesale </w:t>
      </w:r>
      <w:r>
        <w:t>industry is made up of over</w:t>
      </w:r>
      <w:r w:rsidR="00E51523">
        <w:t xml:space="preserve"> 2,000 business enterprises, employing around 393,000 people, with a total revenue </w:t>
      </w:r>
      <w:r w:rsidR="00490637" w:rsidRPr="00490637">
        <w:t>expected to rise at an annualised 2.5</w:t>
      </w:r>
      <w:r w:rsidR="00D50D57">
        <w:t> </w:t>
      </w:r>
      <w:r w:rsidR="00267FA3">
        <w:t xml:space="preserve">per cent </w:t>
      </w:r>
      <w:r w:rsidR="00324DBA">
        <w:t>(</w:t>
      </w:r>
      <w:r w:rsidR="00490637" w:rsidRPr="00490637">
        <w:t>over the five years from 2017 to 2022</w:t>
      </w:r>
      <w:r w:rsidR="00324DBA">
        <w:t>)</w:t>
      </w:r>
      <w:r w:rsidR="00490637" w:rsidRPr="00490637">
        <w:t xml:space="preserve"> to $124.9</w:t>
      </w:r>
      <w:r w:rsidR="00D50D57">
        <w:t> </w:t>
      </w:r>
      <w:r w:rsidR="00490637" w:rsidRPr="00490637">
        <w:t>billion</w:t>
      </w:r>
      <w:r w:rsidR="00E51523">
        <w:t>.</w:t>
      </w:r>
      <w:r w:rsidR="00E51523">
        <w:rPr>
          <w:rStyle w:val="FootnoteReference"/>
        </w:rPr>
        <w:footnoteReference w:id="4"/>
      </w:r>
      <w:r w:rsidR="00490637" w:rsidRPr="00490637">
        <w:t xml:space="preserve"> </w:t>
      </w:r>
    </w:p>
    <w:p w14:paraId="054D3C29" w14:textId="1AAD21C7" w:rsidR="00324DBA" w:rsidRDefault="00490637" w:rsidP="004238BB">
      <w:r>
        <w:t>T</w:t>
      </w:r>
      <w:r w:rsidR="0005532D">
        <w:t>he four largest</w:t>
      </w:r>
      <w:r>
        <w:t xml:space="preserve"> food and grocery retailers and wholesalers are</w:t>
      </w:r>
      <w:r w:rsidR="0005532D">
        <w:t xml:space="preserve"> Woolworths, Coles, Aldi</w:t>
      </w:r>
      <w:r w:rsidR="00052921">
        <w:t>,</w:t>
      </w:r>
      <w:r w:rsidR="0005532D">
        <w:t xml:space="preserve"> and Metcash</w:t>
      </w:r>
      <w:r>
        <w:t>. Together they</w:t>
      </w:r>
      <w:r w:rsidR="0005532D">
        <w:t xml:space="preserve"> </w:t>
      </w:r>
      <w:r>
        <w:t>held</w:t>
      </w:r>
      <w:r w:rsidR="0005532D">
        <w:t xml:space="preserve"> around </w:t>
      </w:r>
      <w:r w:rsidR="00925305">
        <w:t>81</w:t>
      </w:r>
      <w:r w:rsidR="00052921">
        <w:t xml:space="preserve"> per cent of </w:t>
      </w:r>
      <w:r w:rsidR="0005532D">
        <w:t>market share in 2021</w:t>
      </w:r>
      <w:r w:rsidR="00FC6590">
        <w:t>–</w:t>
      </w:r>
      <w:r w:rsidR="0005532D">
        <w:t>22</w:t>
      </w:r>
      <w:r w:rsidR="000B5E69">
        <w:t>, as shown in Figure 1</w:t>
      </w:r>
      <w:r w:rsidR="0005532D">
        <w:t>.</w:t>
      </w:r>
      <w:r w:rsidR="00762B82">
        <w:rPr>
          <w:rStyle w:val="FootnoteReference"/>
        </w:rPr>
        <w:footnoteReference w:id="5"/>
      </w:r>
      <w:r w:rsidR="00E66B65">
        <w:t xml:space="preserve"> </w:t>
      </w:r>
    </w:p>
    <w:p w14:paraId="12B9E128" w14:textId="531FE141" w:rsidR="00C72911" w:rsidRPr="00C72911" w:rsidRDefault="00C72911" w:rsidP="004238BB">
      <w:r>
        <w:t>The food and grocery manufacturing sector</w:t>
      </w:r>
      <w:r w:rsidR="00792AD5">
        <w:t xml:space="preserve"> </w:t>
      </w:r>
      <w:r w:rsidR="0044313A">
        <w:t>(suppliers)</w:t>
      </w:r>
      <w:r w:rsidR="00792AD5">
        <w:t xml:space="preserve"> </w:t>
      </w:r>
      <w:r w:rsidR="009D406E">
        <w:t xml:space="preserve">in Australia </w:t>
      </w:r>
      <w:r w:rsidR="00792AD5">
        <w:t xml:space="preserve">has a turnover of </w:t>
      </w:r>
      <w:r w:rsidR="008556BB">
        <w:t>$133.6</w:t>
      </w:r>
      <w:r w:rsidR="00D50D57">
        <w:t> </w:t>
      </w:r>
      <w:r w:rsidR="008556BB">
        <w:t>billion and</w:t>
      </w:r>
      <w:r w:rsidR="00792AD5">
        <w:t xml:space="preserve"> is made up of around 16,000 businesses, employ</w:t>
      </w:r>
      <w:r w:rsidR="008556BB">
        <w:t>ing</w:t>
      </w:r>
      <w:r w:rsidR="00792AD5">
        <w:t xml:space="preserve"> around 270,000 people</w:t>
      </w:r>
      <w:r w:rsidR="008556BB">
        <w:t>.</w:t>
      </w:r>
      <w:r w:rsidR="00691AD7">
        <w:rPr>
          <w:rStyle w:val="FootnoteReference"/>
        </w:rPr>
        <w:footnoteReference w:id="6"/>
      </w:r>
      <w:r w:rsidR="00792AD5">
        <w:t xml:space="preserve">  </w:t>
      </w:r>
    </w:p>
    <w:p w14:paraId="2B1DC387" w14:textId="2210EFFE" w:rsidR="00213E6A" w:rsidRPr="004238BB" w:rsidRDefault="00213E6A" w:rsidP="004238BB">
      <w:pPr>
        <w:pStyle w:val="Heading1"/>
      </w:pPr>
      <w:bookmarkStart w:id="12" w:name="_Toc121996057"/>
      <w:r w:rsidRPr="004238BB">
        <w:t xml:space="preserve">Reports of the Code Arbiters &amp; </w:t>
      </w:r>
      <w:r w:rsidR="00126B67" w:rsidRPr="004238BB">
        <w:t xml:space="preserve">Survey of </w:t>
      </w:r>
      <w:r w:rsidR="008D5492" w:rsidRPr="004238BB">
        <w:t>Code Signatories</w:t>
      </w:r>
      <w:bookmarkEnd w:id="12"/>
    </w:p>
    <w:p w14:paraId="3BF5B045" w14:textId="51C1146D" w:rsidR="00BF5A1C" w:rsidRDefault="00126B67" w:rsidP="004238BB">
      <w:pPr>
        <w:pStyle w:val="Heading2"/>
      </w:pPr>
      <w:bookmarkStart w:id="13" w:name="_Toc121996058"/>
      <w:r>
        <w:t>Key findings from Code Arbiters</w:t>
      </w:r>
      <w:r w:rsidR="003E7DEA">
        <w:t>’</w:t>
      </w:r>
      <w:r>
        <w:t xml:space="preserve"> reports</w:t>
      </w:r>
      <w:bookmarkEnd w:id="13"/>
    </w:p>
    <w:p w14:paraId="07B186A4" w14:textId="2DC09943" w:rsidR="00CA34F8" w:rsidRDefault="00CA34F8" w:rsidP="00BF5A1C">
      <w:r>
        <w:t>Code Arbiter</w:t>
      </w:r>
      <w:r w:rsidR="0079089E">
        <w:t>s</w:t>
      </w:r>
      <w:r>
        <w:t xml:space="preserve"> must prepare a written report each year setting out the number of complaints received for investigation, the nature of the complaints, the outcomes</w:t>
      </w:r>
      <w:r w:rsidR="00BA4C3F">
        <w:t>,</w:t>
      </w:r>
      <w:r>
        <w:t xml:space="preserve"> and </w:t>
      </w:r>
      <w:r w:rsidR="00BA4C3F">
        <w:t xml:space="preserve">a </w:t>
      </w:r>
      <w:r>
        <w:t xml:space="preserve">range of other </w:t>
      </w:r>
      <w:r>
        <w:lastRenderedPageBreak/>
        <w:t>information. Copies of the report must be given to the retailer or wholesaler for publication on their website, the ACCC</w:t>
      </w:r>
      <w:r w:rsidR="00BA4C3F">
        <w:t>,</w:t>
      </w:r>
      <w:r>
        <w:t xml:space="preserve"> and the Independent Reviewer.</w:t>
      </w:r>
    </w:p>
    <w:p w14:paraId="35BB6C65" w14:textId="7AF0093C" w:rsidR="002A4284" w:rsidRDefault="007D57C3" w:rsidP="00BF5A1C">
      <w:r>
        <w:t xml:space="preserve">Metcash </w:t>
      </w:r>
      <w:r w:rsidR="00B17197">
        <w:t>disclosed through the Metcash Code Arbiter Report 2022 that it had addressed technical issues preventing the capture of information required to comply with clause 27B. However, as Metcash implemented measures from 22 November 2021, the information provided does not include the period from 1 July to 22 November 2021.</w:t>
      </w:r>
      <w:r w:rsidR="00231278">
        <w:t xml:space="preserve"> </w:t>
      </w:r>
    </w:p>
    <w:p w14:paraId="1D503DD9" w14:textId="3745AE20" w:rsidR="007D57C3" w:rsidRDefault="00324DBA" w:rsidP="00BF5A1C">
      <w:r>
        <w:t>This matter was referred to the ACCC for further consideration.</w:t>
      </w:r>
    </w:p>
    <w:p w14:paraId="5552D9D8" w14:textId="6FE08977" w:rsidR="00BF5A1C" w:rsidRDefault="00BF5A1C" w:rsidP="004238BB">
      <w:pPr>
        <w:pStyle w:val="Heading3"/>
      </w:pPr>
      <w:bookmarkStart w:id="14" w:name="_Toc121996059"/>
      <w:r>
        <w:t>Handling of complaints</w:t>
      </w:r>
      <w:bookmarkEnd w:id="14"/>
    </w:p>
    <w:p w14:paraId="25B08C27" w14:textId="0B5CE0BB" w:rsidR="000F02B0" w:rsidRDefault="007A5F8A" w:rsidP="00BF5A1C">
      <w:r>
        <w:t xml:space="preserve">The </w:t>
      </w:r>
      <w:r w:rsidR="008D5492">
        <w:t xml:space="preserve">Code </w:t>
      </w:r>
      <w:r w:rsidR="000D6377">
        <w:t>Arbiters</w:t>
      </w:r>
      <w:r>
        <w:t xml:space="preserve"> must </w:t>
      </w:r>
      <w:r w:rsidR="000D6377">
        <w:t xml:space="preserve">publicly </w:t>
      </w:r>
      <w:r>
        <w:t xml:space="preserve">report the number and nature of complaints </w:t>
      </w:r>
      <w:r w:rsidR="002C553C">
        <w:t>they</w:t>
      </w:r>
      <w:r>
        <w:t xml:space="preserve"> ha</w:t>
      </w:r>
      <w:r w:rsidR="002C553C">
        <w:t>ve</w:t>
      </w:r>
      <w:r>
        <w:t xml:space="preserve"> received. </w:t>
      </w:r>
      <w:r w:rsidRPr="00E66B65">
        <w:t>Table</w:t>
      </w:r>
      <w:r w:rsidR="00BA4C3F" w:rsidRPr="00E66B65">
        <w:t xml:space="preserve"> 1</w:t>
      </w:r>
      <w:r w:rsidRPr="00E66B65">
        <w:t xml:space="preserve"> shows</w:t>
      </w:r>
      <w:r>
        <w:t xml:space="preserve"> the number of complaints received by each </w:t>
      </w:r>
      <w:r w:rsidR="008D5492">
        <w:t xml:space="preserve">Code </w:t>
      </w:r>
      <w:r w:rsidR="000D6377">
        <w:t>Arbiter</w:t>
      </w:r>
      <w:r>
        <w:t xml:space="preserve"> and the nature of the complaint</w:t>
      </w:r>
      <w:r w:rsidR="002C553C">
        <w:t xml:space="preserve"> is explained below</w:t>
      </w:r>
      <w:r>
        <w:t>.</w:t>
      </w:r>
    </w:p>
    <w:p w14:paraId="1DCF4800" w14:textId="72786A4C" w:rsidR="007A5F8A" w:rsidRPr="004238BB" w:rsidRDefault="007A5F8A" w:rsidP="00302F2E">
      <w:pPr>
        <w:pStyle w:val="TableSecondHeading"/>
      </w:pPr>
      <w:r w:rsidRPr="004238BB">
        <w:t xml:space="preserve">Table </w:t>
      </w:r>
      <w:r w:rsidR="00BA4C3F" w:rsidRPr="004238BB">
        <w:t>1</w:t>
      </w:r>
      <w:r w:rsidRPr="004238BB">
        <w:t>. Number and nature of complaints</w:t>
      </w:r>
    </w:p>
    <w:tbl>
      <w:tblPr>
        <w:tblStyle w:val="TableGridLight"/>
        <w:tblW w:w="0" w:type="auto"/>
        <w:tblLook w:val="04A0" w:firstRow="1" w:lastRow="0" w:firstColumn="1" w:lastColumn="0" w:noHBand="0" w:noVBand="1"/>
        <w:tblCaption w:val="Table"/>
      </w:tblPr>
      <w:tblGrid>
        <w:gridCol w:w="2405"/>
        <w:gridCol w:w="3260"/>
        <w:gridCol w:w="3261"/>
      </w:tblGrid>
      <w:tr w:rsidR="00AA2EC7" w:rsidRPr="005C69B5" w14:paraId="387D5503" w14:textId="77777777" w:rsidTr="007919D7">
        <w:tc>
          <w:tcPr>
            <w:tcW w:w="2405" w:type="dxa"/>
            <w:vMerge w:val="restart"/>
            <w:shd w:val="clear" w:color="auto" w:fill="185E7A" w:themeFill="accent2"/>
            <w:vAlign w:val="center"/>
          </w:tcPr>
          <w:p w14:paraId="52FE1385" w14:textId="5F88F48B" w:rsidR="00AA2EC7" w:rsidRPr="00E72CDE" w:rsidRDefault="007919D7" w:rsidP="00E72CDE">
            <w:pPr>
              <w:pStyle w:val="TableColumnHeadingLeft"/>
              <w:rPr>
                <w:color w:val="FFFFFF" w:themeColor="background1"/>
              </w:rPr>
            </w:pPr>
            <w:r w:rsidRPr="00E72CDE" w:rsidDel="008D5492">
              <w:rPr>
                <w:color w:val="FFFFFF" w:themeColor="background1"/>
              </w:rPr>
              <w:t xml:space="preserve">Code </w:t>
            </w:r>
            <w:r w:rsidR="00650341" w:rsidRPr="00E72CDE" w:rsidDel="008D5492">
              <w:rPr>
                <w:color w:val="FFFFFF" w:themeColor="background1"/>
              </w:rPr>
              <w:t>S</w:t>
            </w:r>
            <w:r w:rsidRPr="00E72CDE" w:rsidDel="008D5492">
              <w:rPr>
                <w:color w:val="FFFFFF" w:themeColor="background1"/>
              </w:rPr>
              <w:t>ignatory</w:t>
            </w:r>
          </w:p>
        </w:tc>
        <w:tc>
          <w:tcPr>
            <w:tcW w:w="6521" w:type="dxa"/>
            <w:gridSpan w:val="2"/>
            <w:shd w:val="clear" w:color="auto" w:fill="185E7A" w:themeFill="accent2"/>
            <w:vAlign w:val="center"/>
          </w:tcPr>
          <w:p w14:paraId="1A703AFF" w14:textId="1AB1A510" w:rsidR="00AA2EC7" w:rsidRPr="00E72CDE" w:rsidRDefault="00AA2EC7" w:rsidP="00E72CDE">
            <w:pPr>
              <w:pStyle w:val="TableColumnHeadingLeft"/>
              <w:rPr>
                <w:color w:val="FFFFFF" w:themeColor="background1"/>
              </w:rPr>
            </w:pPr>
            <w:r w:rsidRPr="00E72CDE">
              <w:rPr>
                <w:color w:val="FFFFFF" w:themeColor="background1"/>
              </w:rPr>
              <w:t xml:space="preserve">Number of </w:t>
            </w:r>
            <w:r w:rsidR="00CD7750" w:rsidRPr="00E72CDE">
              <w:rPr>
                <w:color w:val="FFFFFF" w:themeColor="background1"/>
              </w:rPr>
              <w:t>f</w:t>
            </w:r>
            <w:r w:rsidR="00B25D85" w:rsidRPr="00E72CDE">
              <w:rPr>
                <w:color w:val="FFFFFF" w:themeColor="background1"/>
              </w:rPr>
              <w:t>o</w:t>
            </w:r>
            <w:r w:rsidR="00CD7750" w:rsidRPr="00E72CDE">
              <w:rPr>
                <w:color w:val="FFFFFF" w:themeColor="background1"/>
              </w:rPr>
              <w:t xml:space="preserve">rmal </w:t>
            </w:r>
            <w:r w:rsidRPr="00E72CDE">
              <w:rPr>
                <w:color w:val="FFFFFF" w:themeColor="background1"/>
              </w:rPr>
              <w:t>complaints</w:t>
            </w:r>
          </w:p>
        </w:tc>
      </w:tr>
      <w:tr w:rsidR="00AA2EC7" w:rsidRPr="005C69B5" w14:paraId="15C8743C" w14:textId="77777777" w:rsidTr="00AA2EC7">
        <w:tc>
          <w:tcPr>
            <w:tcW w:w="2405" w:type="dxa"/>
            <w:vMerge/>
            <w:shd w:val="clear" w:color="auto" w:fill="185E7A" w:themeFill="accent2"/>
          </w:tcPr>
          <w:p w14:paraId="0CFF851B" w14:textId="77777777" w:rsidR="00AA2EC7" w:rsidRPr="00E72CDE" w:rsidRDefault="00AA2EC7" w:rsidP="00E72CDE">
            <w:pPr>
              <w:pStyle w:val="TableColumnHeadingLeft"/>
              <w:rPr>
                <w:color w:val="FFFFFF" w:themeColor="background1"/>
              </w:rPr>
            </w:pPr>
          </w:p>
        </w:tc>
        <w:tc>
          <w:tcPr>
            <w:tcW w:w="3260" w:type="dxa"/>
            <w:shd w:val="clear" w:color="auto" w:fill="185E7A" w:themeFill="accent2"/>
          </w:tcPr>
          <w:p w14:paraId="41A208B8" w14:textId="4CE68692" w:rsidR="00AA2EC7" w:rsidRPr="00E72CDE" w:rsidRDefault="00AA2EC7" w:rsidP="00E72CDE">
            <w:pPr>
              <w:pStyle w:val="TableColumnHeadingLeft"/>
              <w:rPr>
                <w:color w:val="FFFFFF" w:themeColor="background1"/>
              </w:rPr>
            </w:pPr>
            <w:r w:rsidRPr="00E72CDE">
              <w:rPr>
                <w:color w:val="FFFFFF" w:themeColor="background1"/>
              </w:rPr>
              <w:t>2020</w:t>
            </w:r>
            <w:r w:rsidR="00FC6590" w:rsidRPr="00E72CDE">
              <w:rPr>
                <w:color w:val="FFFFFF" w:themeColor="background1"/>
              </w:rPr>
              <w:t>–</w:t>
            </w:r>
            <w:r w:rsidRPr="00E72CDE">
              <w:rPr>
                <w:color w:val="FFFFFF" w:themeColor="background1"/>
              </w:rPr>
              <w:t>21</w:t>
            </w:r>
          </w:p>
        </w:tc>
        <w:tc>
          <w:tcPr>
            <w:tcW w:w="3261" w:type="dxa"/>
            <w:shd w:val="clear" w:color="auto" w:fill="185E7A" w:themeFill="accent2"/>
          </w:tcPr>
          <w:p w14:paraId="6C8ABF56" w14:textId="0667E310" w:rsidR="00AA2EC7" w:rsidRPr="00E72CDE" w:rsidRDefault="00AA2EC7" w:rsidP="00E72CDE">
            <w:pPr>
              <w:pStyle w:val="TableColumnHeadingLeft"/>
              <w:rPr>
                <w:color w:val="FFFFFF" w:themeColor="background1"/>
              </w:rPr>
            </w:pPr>
            <w:r w:rsidRPr="00E72CDE">
              <w:rPr>
                <w:color w:val="FFFFFF" w:themeColor="background1"/>
              </w:rPr>
              <w:t>2021</w:t>
            </w:r>
            <w:r w:rsidR="00FC6590" w:rsidRPr="00E72CDE">
              <w:rPr>
                <w:color w:val="FFFFFF" w:themeColor="background1"/>
              </w:rPr>
              <w:t>–</w:t>
            </w:r>
            <w:r w:rsidRPr="00E72CDE">
              <w:rPr>
                <w:color w:val="FFFFFF" w:themeColor="background1"/>
              </w:rPr>
              <w:t>22</w:t>
            </w:r>
          </w:p>
        </w:tc>
      </w:tr>
      <w:tr w:rsidR="00AA2EC7" w14:paraId="789885ED" w14:textId="77777777" w:rsidTr="00AA2EC7">
        <w:tc>
          <w:tcPr>
            <w:tcW w:w="2405" w:type="dxa"/>
          </w:tcPr>
          <w:p w14:paraId="0EF8144A" w14:textId="20DCA583" w:rsidR="00AA2EC7" w:rsidRDefault="00AA2EC7" w:rsidP="004238BB">
            <w:pPr>
              <w:pStyle w:val="TableTextLeft"/>
            </w:pPr>
            <w:r>
              <w:t>Woolworths</w:t>
            </w:r>
            <w:r>
              <w:rPr>
                <w:rStyle w:val="FootnoteReference"/>
              </w:rPr>
              <w:footnoteReference w:id="7"/>
            </w:r>
          </w:p>
        </w:tc>
        <w:tc>
          <w:tcPr>
            <w:tcW w:w="3260" w:type="dxa"/>
          </w:tcPr>
          <w:p w14:paraId="3B33313A" w14:textId="7B757195" w:rsidR="00AA2EC7" w:rsidRDefault="002A4284" w:rsidP="004238BB">
            <w:pPr>
              <w:pStyle w:val="TableTextLeft"/>
            </w:pPr>
            <w:r>
              <w:t>0</w:t>
            </w:r>
            <w:r w:rsidR="00B11B27">
              <w:rPr>
                <w:rStyle w:val="FootnoteReference"/>
              </w:rPr>
              <w:footnoteReference w:id="8"/>
            </w:r>
          </w:p>
        </w:tc>
        <w:tc>
          <w:tcPr>
            <w:tcW w:w="3261" w:type="dxa"/>
          </w:tcPr>
          <w:p w14:paraId="55939100" w14:textId="338AC126" w:rsidR="00AA2EC7" w:rsidRDefault="00AA2EC7" w:rsidP="004238BB">
            <w:pPr>
              <w:pStyle w:val="TableTextLeft"/>
            </w:pPr>
            <w:r>
              <w:t>0</w:t>
            </w:r>
          </w:p>
        </w:tc>
      </w:tr>
      <w:tr w:rsidR="00AA2EC7" w14:paraId="58CFC239" w14:textId="77777777" w:rsidTr="00AA2EC7">
        <w:tc>
          <w:tcPr>
            <w:tcW w:w="2405" w:type="dxa"/>
          </w:tcPr>
          <w:p w14:paraId="640B7872" w14:textId="7406D160" w:rsidR="00AA2EC7" w:rsidRDefault="00AA2EC7" w:rsidP="004238BB">
            <w:pPr>
              <w:pStyle w:val="TableTextLeft"/>
            </w:pPr>
            <w:r>
              <w:t>Coles</w:t>
            </w:r>
            <w:r>
              <w:rPr>
                <w:rStyle w:val="FootnoteReference"/>
              </w:rPr>
              <w:footnoteReference w:id="9"/>
            </w:r>
          </w:p>
        </w:tc>
        <w:tc>
          <w:tcPr>
            <w:tcW w:w="3260" w:type="dxa"/>
          </w:tcPr>
          <w:p w14:paraId="0E56DA2C" w14:textId="7A3FBA62" w:rsidR="00AA2EC7" w:rsidRDefault="00AA2EC7" w:rsidP="004238BB">
            <w:pPr>
              <w:pStyle w:val="TableTextLeft"/>
            </w:pPr>
            <w:r>
              <w:t>3</w:t>
            </w:r>
          </w:p>
        </w:tc>
        <w:tc>
          <w:tcPr>
            <w:tcW w:w="3261" w:type="dxa"/>
            <w:vAlign w:val="center"/>
          </w:tcPr>
          <w:p w14:paraId="45885B7F" w14:textId="6D2097DB" w:rsidR="00AA2EC7" w:rsidRDefault="00AA2EC7" w:rsidP="004238BB">
            <w:pPr>
              <w:pStyle w:val="TableTextLeft"/>
            </w:pPr>
            <w:r>
              <w:t>2</w:t>
            </w:r>
          </w:p>
        </w:tc>
      </w:tr>
      <w:tr w:rsidR="00AA2EC7" w14:paraId="51B0F635" w14:textId="77777777" w:rsidTr="00AA2EC7">
        <w:tc>
          <w:tcPr>
            <w:tcW w:w="2405" w:type="dxa"/>
          </w:tcPr>
          <w:p w14:paraId="2DEC452E" w14:textId="681E43C7" w:rsidR="00AA2EC7" w:rsidRDefault="00AA2EC7" w:rsidP="004238BB">
            <w:pPr>
              <w:pStyle w:val="TableTextLeft"/>
            </w:pPr>
            <w:r>
              <w:t>Metcash</w:t>
            </w:r>
            <w:r>
              <w:rPr>
                <w:rStyle w:val="FootnoteReference"/>
              </w:rPr>
              <w:footnoteReference w:id="10"/>
            </w:r>
          </w:p>
        </w:tc>
        <w:tc>
          <w:tcPr>
            <w:tcW w:w="3260" w:type="dxa"/>
          </w:tcPr>
          <w:p w14:paraId="355AEB49" w14:textId="4CD26EA7" w:rsidR="00AA2EC7" w:rsidRDefault="00AA2EC7" w:rsidP="004238BB">
            <w:pPr>
              <w:pStyle w:val="TableTextLeft"/>
            </w:pPr>
            <w:r>
              <w:t>0</w:t>
            </w:r>
          </w:p>
        </w:tc>
        <w:tc>
          <w:tcPr>
            <w:tcW w:w="3261" w:type="dxa"/>
          </w:tcPr>
          <w:p w14:paraId="006ADCD2" w14:textId="166EB096" w:rsidR="00AA2EC7" w:rsidRDefault="00AA2EC7" w:rsidP="004238BB">
            <w:pPr>
              <w:pStyle w:val="TableTextLeft"/>
            </w:pPr>
            <w:r>
              <w:t>0</w:t>
            </w:r>
          </w:p>
        </w:tc>
      </w:tr>
      <w:tr w:rsidR="00AA2EC7" w14:paraId="4F41A499" w14:textId="77777777" w:rsidTr="00AA2EC7">
        <w:tc>
          <w:tcPr>
            <w:tcW w:w="2405" w:type="dxa"/>
          </w:tcPr>
          <w:p w14:paraId="3D4F2AE2" w14:textId="105F7B33" w:rsidR="00AA2EC7" w:rsidRDefault="00AA2EC7" w:rsidP="004238BB">
            <w:pPr>
              <w:pStyle w:val="TableTextLeft"/>
            </w:pPr>
            <w:r>
              <w:t>Aldi</w:t>
            </w:r>
            <w:r>
              <w:rPr>
                <w:rStyle w:val="FootnoteReference"/>
              </w:rPr>
              <w:footnoteReference w:id="11"/>
            </w:r>
          </w:p>
        </w:tc>
        <w:tc>
          <w:tcPr>
            <w:tcW w:w="3260" w:type="dxa"/>
          </w:tcPr>
          <w:p w14:paraId="0CE236E2" w14:textId="666AFE26" w:rsidR="00AA2EC7" w:rsidRDefault="00AA2EC7" w:rsidP="004238BB">
            <w:pPr>
              <w:pStyle w:val="TableTextLeft"/>
            </w:pPr>
            <w:r>
              <w:t>0</w:t>
            </w:r>
          </w:p>
        </w:tc>
        <w:tc>
          <w:tcPr>
            <w:tcW w:w="3261" w:type="dxa"/>
          </w:tcPr>
          <w:p w14:paraId="65B4B68B" w14:textId="2F792011" w:rsidR="00AA2EC7" w:rsidRDefault="00AA2EC7" w:rsidP="004238BB">
            <w:pPr>
              <w:pStyle w:val="TableTextLeft"/>
            </w:pPr>
            <w:r>
              <w:t>0</w:t>
            </w:r>
          </w:p>
        </w:tc>
      </w:tr>
    </w:tbl>
    <w:p w14:paraId="79FED887" w14:textId="069062F3" w:rsidR="00B17378" w:rsidRDefault="00BA4C3F" w:rsidP="00BF5A1C">
      <w:r>
        <w:t>O</w:t>
      </w:r>
      <w:r w:rsidR="00B17378">
        <w:t xml:space="preserve">f the two complaints received </w:t>
      </w:r>
      <w:r>
        <w:t xml:space="preserve">by Coles Code Arbiter </w:t>
      </w:r>
      <w:r w:rsidR="00B17378">
        <w:t>during the 2021</w:t>
      </w:r>
      <w:r w:rsidR="00FC6590">
        <w:t>–</w:t>
      </w:r>
      <w:r w:rsidR="00B17378">
        <w:t xml:space="preserve">22 financial year, one was </w:t>
      </w:r>
      <w:r w:rsidR="00183CFA">
        <w:t>i</w:t>
      </w:r>
      <w:r w:rsidR="00B17378">
        <w:t>n relation to accounting practices, and the other was in relation to freight charges levied.</w:t>
      </w:r>
    </w:p>
    <w:p w14:paraId="69FF23D5" w14:textId="2CC0D164" w:rsidR="00BF5A1C" w:rsidRDefault="00BF5A1C" w:rsidP="004238BB">
      <w:pPr>
        <w:pStyle w:val="Heading3"/>
      </w:pPr>
      <w:bookmarkStart w:id="15" w:name="_Toc121996060"/>
      <w:r w:rsidRPr="005E0F36">
        <w:t>Price rise</w:t>
      </w:r>
      <w:r w:rsidR="001E73EC" w:rsidRPr="005E0F36">
        <w:t xml:space="preserve"> notifications and</w:t>
      </w:r>
      <w:r w:rsidRPr="005E0F36">
        <w:t xml:space="preserve"> negotiations</w:t>
      </w:r>
      <w:r w:rsidR="001E73EC">
        <w:rPr>
          <w:rStyle w:val="FootnoteReference"/>
        </w:rPr>
        <w:footnoteReference w:id="12"/>
      </w:r>
      <w:bookmarkEnd w:id="15"/>
    </w:p>
    <w:p w14:paraId="0E6BB9AA" w14:textId="09F90A9D" w:rsidR="000F27FF" w:rsidRDefault="001612A8" w:rsidP="000F27FF">
      <w:r>
        <w:t xml:space="preserve">The retailer or wholesaler must provide the Code Arbiter with information around </w:t>
      </w:r>
      <w:r w:rsidR="00D15C73">
        <w:t xml:space="preserve">price increases, including </w:t>
      </w:r>
      <w:r>
        <w:t>the number of price rise notifications received from suppliers, the number of negotiations entered</w:t>
      </w:r>
      <w:r w:rsidR="00183CFA">
        <w:t>,</w:t>
      </w:r>
      <w:r>
        <w:t xml:space="preserve"> and the time it took to conclude negotiations.</w:t>
      </w:r>
    </w:p>
    <w:p w14:paraId="506DDB84" w14:textId="635AAD4F" w:rsidR="00D15C73" w:rsidRPr="00C63055" w:rsidRDefault="009E221A" w:rsidP="00C63055">
      <w:pPr>
        <w:pStyle w:val="Bullet"/>
      </w:pPr>
      <w:r w:rsidRPr="00C63055">
        <w:t>Woolworths gave 2</w:t>
      </w:r>
      <w:r w:rsidR="00183CFA" w:rsidRPr="00C63055">
        <w:t>,</w:t>
      </w:r>
      <w:r w:rsidRPr="00C63055">
        <w:t xml:space="preserve">104 notifications in response to being informed of a price rise increase from suppliers. Suppliers requested negotiations </w:t>
      </w:r>
      <w:r w:rsidR="00183CFA" w:rsidRPr="00C63055">
        <w:t xml:space="preserve">with respect to </w:t>
      </w:r>
      <w:r w:rsidRPr="00C63055">
        <w:t>1</w:t>
      </w:r>
      <w:r w:rsidR="00183CFA" w:rsidRPr="00C63055">
        <w:t>,</w:t>
      </w:r>
      <w:r w:rsidRPr="00C63055">
        <w:t>627 of the 2</w:t>
      </w:r>
      <w:r w:rsidR="00183CFA" w:rsidRPr="00C63055">
        <w:t>,</w:t>
      </w:r>
      <w:r w:rsidRPr="00C63055">
        <w:t>104 notifications. 1</w:t>
      </w:r>
      <w:r w:rsidR="00183CFA" w:rsidRPr="00C63055">
        <w:t>,</w:t>
      </w:r>
      <w:r w:rsidRPr="00C63055">
        <w:t>176</w:t>
      </w:r>
      <w:r w:rsidR="00974384" w:rsidRPr="00C63055">
        <w:t> </w:t>
      </w:r>
      <w:r w:rsidRPr="00C63055">
        <w:t xml:space="preserve">negotiations </w:t>
      </w:r>
      <w:r w:rsidR="006D0675" w:rsidRPr="00C63055">
        <w:t>(</w:t>
      </w:r>
      <w:r w:rsidR="00F6227F" w:rsidRPr="00C63055">
        <w:t>72</w:t>
      </w:r>
      <w:r w:rsidR="0096521D" w:rsidRPr="00C63055">
        <w:t xml:space="preserve"> per cent</w:t>
      </w:r>
      <w:r w:rsidR="006D0675" w:rsidRPr="00C63055">
        <w:t xml:space="preserve">) </w:t>
      </w:r>
      <w:r w:rsidRPr="00C63055">
        <w:t>were not concluded within 30 days of the request</w:t>
      </w:r>
      <w:r w:rsidR="00E3026D" w:rsidRPr="00C63055">
        <w:t>.</w:t>
      </w:r>
    </w:p>
    <w:p w14:paraId="2D7F9AD9" w14:textId="7CF469BA" w:rsidR="00E3026D" w:rsidRPr="00C63055" w:rsidRDefault="00E3026D" w:rsidP="00C63055">
      <w:pPr>
        <w:pStyle w:val="Bullet"/>
      </w:pPr>
      <w:r w:rsidRPr="00C63055">
        <w:t>Coles gave 4</w:t>
      </w:r>
      <w:r w:rsidR="00183CFA" w:rsidRPr="00C63055">
        <w:t>,</w:t>
      </w:r>
      <w:r w:rsidRPr="00C63055">
        <w:t>126 notifications and entered 664 negotiations</w:t>
      </w:r>
      <w:r w:rsidR="008466B4" w:rsidRPr="00C63055">
        <w:t xml:space="preserve">, of which 552 </w:t>
      </w:r>
      <w:r w:rsidR="001C13F1" w:rsidRPr="00C63055">
        <w:t xml:space="preserve">negotiations </w:t>
      </w:r>
      <w:r w:rsidR="006D0675" w:rsidRPr="00C63055">
        <w:t>(</w:t>
      </w:r>
      <w:r w:rsidR="00F6227F" w:rsidRPr="00C63055">
        <w:t>83</w:t>
      </w:r>
      <w:r w:rsidR="00CF52C0">
        <w:t> </w:t>
      </w:r>
      <w:r w:rsidR="0096521D" w:rsidRPr="00C63055">
        <w:t>per</w:t>
      </w:r>
      <w:r w:rsidR="00CF52C0">
        <w:t xml:space="preserve">  </w:t>
      </w:r>
      <w:r w:rsidR="0096521D" w:rsidRPr="00C63055">
        <w:t>cent</w:t>
      </w:r>
      <w:r w:rsidR="006D0675" w:rsidRPr="00C63055">
        <w:t xml:space="preserve">) </w:t>
      </w:r>
      <w:r w:rsidR="008466B4" w:rsidRPr="00C63055">
        <w:t>were not concluded within 30 days of the request.</w:t>
      </w:r>
    </w:p>
    <w:p w14:paraId="63D36CF8" w14:textId="1A944CCA" w:rsidR="001B5C15" w:rsidRPr="00C63055" w:rsidRDefault="001B5C15" w:rsidP="00C63055">
      <w:pPr>
        <w:pStyle w:val="Bullet"/>
      </w:pPr>
      <w:r w:rsidRPr="00C63055">
        <w:t>Metcash gave 739 notifications in the period 22 November 2021 to 30 June 2022 in response to being informed of a price increase by suppliers. Metcash entered negotiations for 24 notifications, with 12</w:t>
      </w:r>
      <w:r w:rsidR="001C13F1" w:rsidRPr="00C63055">
        <w:t xml:space="preserve"> negotiations </w:t>
      </w:r>
      <w:r w:rsidR="006D0675" w:rsidRPr="00C63055">
        <w:t>(</w:t>
      </w:r>
      <w:r w:rsidR="00F6227F" w:rsidRPr="00C63055">
        <w:t>50</w:t>
      </w:r>
      <w:r w:rsidR="0096521D" w:rsidRPr="00C63055">
        <w:t xml:space="preserve"> per cent</w:t>
      </w:r>
      <w:r w:rsidR="006D0675" w:rsidRPr="00C63055">
        <w:t>)</w:t>
      </w:r>
      <w:r w:rsidR="005842E6" w:rsidRPr="00C63055">
        <w:t xml:space="preserve"> </w:t>
      </w:r>
      <w:r w:rsidRPr="00C63055">
        <w:t>not concluding within 30 days.</w:t>
      </w:r>
    </w:p>
    <w:p w14:paraId="4F4A989F" w14:textId="11A11D61" w:rsidR="001B5C15" w:rsidRPr="00C63055" w:rsidRDefault="001B5C15" w:rsidP="00C63055">
      <w:pPr>
        <w:pStyle w:val="Bullet"/>
      </w:pPr>
      <w:r w:rsidRPr="00C63055">
        <w:t>Aldi gave 1</w:t>
      </w:r>
      <w:r w:rsidR="00183CFA" w:rsidRPr="00C63055">
        <w:t>,</w:t>
      </w:r>
      <w:r w:rsidRPr="00C63055">
        <w:t>140 notifications</w:t>
      </w:r>
      <w:r w:rsidR="00851B01" w:rsidRPr="00C63055">
        <w:t xml:space="preserve"> and entered negotiations for 21 notifications, with 7 </w:t>
      </w:r>
      <w:r w:rsidR="00183579" w:rsidRPr="00C63055">
        <w:t xml:space="preserve">negotiations </w:t>
      </w:r>
      <w:r w:rsidR="006D0675" w:rsidRPr="00C63055">
        <w:t>(</w:t>
      </w:r>
      <w:r w:rsidR="00F6227F" w:rsidRPr="00C63055">
        <w:t>33</w:t>
      </w:r>
      <w:r w:rsidR="00974384" w:rsidRPr="00C63055">
        <w:t> </w:t>
      </w:r>
      <w:r w:rsidR="0096521D" w:rsidRPr="00C63055">
        <w:t>per cent</w:t>
      </w:r>
      <w:r w:rsidR="006D0675" w:rsidRPr="00C63055">
        <w:t xml:space="preserve">) </w:t>
      </w:r>
      <w:r w:rsidR="00851B01" w:rsidRPr="00C63055">
        <w:t>not concluding within the 30 days.</w:t>
      </w:r>
    </w:p>
    <w:p w14:paraId="26BBEFC2" w14:textId="19844812" w:rsidR="00CF4D3E" w:rsidRDefault="00CF4D3E" w:rsidP="00CF4D3E">
      <w:pPr>
        <w:pStyle w:val="Bullet"/>
        <w:numPr>
          <w:ilvl w:val="0"/>
          <w:numId w:val="0"/>
        </w:numPr>
      </w:pPr>
      <w:r>
        <w:lastRenderedPageBreak/>
        <w:t xml:space="preserve">The longest time taken to conclude negotiations was </w:t>
      </w:r>
      <w:r w:rsidR="005F0E80">
        <w:t xml:space="preserve">180 </w:t>
      </w:r>
      <w:r>
        <w:t>days from</w:t>
      </w:r>
      <w:r w:rsidR="005F0E80">
        <w:t xml:space="preserve"> Coles.</w:t>
      </w:r>
      <w:r w:rsidR="006B6BF0">
        <w:t xml:space="preserve"> See section below for further information on price notifications and negotiations. The full</w:t>
      </w:r>
      <w:r>
        <w:t xml:space="preserve"> Code Arbiter reports</w:t>
      </w:r>
      <w:r w:rsidR="006B6BF0">
        <w:t xml:space="preserve"> are available at</w:t>
      </w:r>
      <w:r>
        <w:t xml:space="preserve"> </w:t>
      </w:r>
      <w:hyperlink r:id="rId28" w:history="1">
        <w:r w:rsidR="00EC408C" w:rsidRPr="00EC408C">
          <w:rPr>
            <w:rStyle w:val="Hyperlink"/>
          </w:rPr>
          <w:t>www.grocerycodereviewer.gov.au/resources</w:t>
        </w:r>
      </w:hyperlink>
      <w:r>
        <w:t xml:space="preserve">. </w:t>
      </w:r>
    </w:p>
    <w:p w14:paraId="74AC2102" w14:textId="0F1F7656" w:rsidR="00126B67" w:rsidRDefault="00126B67" w:rsidP="00302F2E">
      <w:pPr>
        <w:pStyle w:val="Heading2"/>
      </w:pPr>
      <w:bookmarkStart w:id="16" w:name="_Toc121996061"/>
      <w:r>
        <w:t>Commentary on retailer/wholesaler survey responses</w:t>
      </w:r>
      <w:bookmarkEnd w:id="16"/>
    </w:p>
    <w:p w14:paraId="6C0E5187" w14:textId="265A1693" w:rsidR="0046233D" w:rsidRDefault="0046233D" w:rsidP="00126B67">
      <w:r>
        <w:t xml:space="preserve">The Independent Reviewer must conduct an annual survey of the </w:t>
      </w:r>
      <w:r w:rsidR="008D5492">
        <w:t>Code Signatories</w:t>
      </w:r>
      <w:r>
        <w:t xml:space="preserve">. In September 2022, the Independent Reviewer carried out the second survey of </w:t>
      </w:r>
      <w:r w:rsidR="008D5492">
        <w:t>Code Signatories</w:t>
      </w:r>
      <w:r>
        <w:t xml:space="preserve"> under the Code. The survey was in relation to the 2021</w:t>
      </w:r>
      <w:r w:rsidR="00FC6590">
        <w:t>–</w:t>
      </w:r>
      <w:r>
        <w:t>22 reporting period and covered</w:t>
      </w:r>
      <w:r w:rsidR="009F764B">
        <w:t xml:space="preserve"> topics such as ongoing relationship between </w:t>
      </w:r>
      <w:r w:rsidR="008D5492">
        <w:t>Code Signatories</w:t>
      </w:r>
      <w:r w:rsidR="009F764B">
        <w:t xml:space="preserve"> and suppliers, new</w:t>
      </w:r>
      <w:r>
        <w:t xml:space="preserve"> </w:t>
      </w:r>
      <w:r w:rsidR="009F764B">
        <w:t>dispute resolution arrangements, training of buying teams</w:t>
      </w:r>
      <w:r w:rsidR="00B93FF4">
        <w:t>,</w:t>
      </w:r>
      <w:r w:rsidR="009F764B">
        <w:t xml:space="preserve"> and price increases</w:t>
      </w:r>
      <w:r>
        <w:t>.</w:t>
      </w:r>
    </w:p>
    <w:p w14:paraId="3D37D95D" w14:textId="717B67AF" w:rsidR="005C350B" w:rsidRPr="005E0F36" w:rsidRDefault="005C350B" w:rsidP="005E0F36">
      <w:pPr>
        <w:pStyle w:val="Heading3"/>
      </w:pPr>
      <w:bookmarkStart w:id="17" w:name="_Toc121996062"/>
      <w:r w:rsidRPr="005E0F36">
        <w:t>Changes to dispute resolution arrangements</w:t>
      </w:r>
      <w:bookmarkEnd w:id="17"/>
    </w:p>
    <w:p w14:paraId="2A0CD237" w14:textId="5B021ABE" w:rsidR="005C350B" w:rsidRDefault="00A56080" w:rsidP="00126B67">
      <w:r>
        <w:t xml:space="preserve">In July 2022, the </w:t>
      </w:r>
      <w:r w:rsidR="008D5492">
        <w:t>Code Signatories</w:t>
      </w:r>
      <w:r>
        <w:t xml:space="preserve"> voluntarily amended their dispute resolution arrangements to allow their Code Arbiter</w:t>
      </w:r>
      <w:r w:rsidR="002A4284">
        <w:t>s</w:t>
      </w:r>
      <w:r>
        <w:t xml:space="preserve"> to receive and respond to informal complaints or reports of bad behaviour by the </w:t>
      </w:r>
      <w:r w:rsidR="008D5492">
        <w:t>Code Signatories</w:t>
      </w:r>
      <w:r w:rsidR="003E7DEA">
        <w:t>’</w:t>
      </w:r>
      <w:r>
        <w:t xml:space="preserve"> buying teams.</w:t>
      </w:r>
      <w:r w:rsidR="00776D28">
        <w:t xml:space="preserve"> The </w:t>
      </w:r>
      <w:r w:rsidR="008D5492">
        <w:t>Code Signatories</w:t>
      </w:r>
      <w:r w:rsidR="00776D28">
        <w:t xml:space="preserve"> took steps to inform suppliers about these changes (which have been adopted outside of the Code), and </w:t>
      </w:r>
      <w:r w:rsidR="00937CF8">
        <w:t xml:space="preserve">the </w:t>
      </w:r>
      <w:r w:rsidR="00776D28">
        <w:t xml:space="preserve">Code Arbiters have </w:t>
      </w:r>
      <w:r w:rsidR="008A1FAA">
        <w:t xml:space="preserve">informally </w:t>
      </w:r>
      <w:r w:rsidR="00776D28">
        <w:t xml:space="preserve">reported </w:t>
      </w:r>
      <w:r w:rsidR="006E3267">
        <w:t xml:space="preserve">a </w:t>
      </w:r>
      <w:r w:rsidR="00776D28">
        <w:t xml:space="preserve">moderate </w:t>
      </w:r>
      <w:r w:rsidR="006E3267">
        <w:t>uptake</w:t>
      </w:r>
      <w:r w:rsidR="00776D28">
        <w:t xml:space="preserve"> of the</w:t>
      </w:r>
      <w:r w:rsidR="006E3267">
        <w:t>se</w:t>
      </w:r>
      <w:r w:rsidR="00776D28">
        <w:t xml:space="preserve"> new arrangements.</w:t>
      </w:r>
    </w:p>
    <w:p w14:paraId="41EC0D3B" w14:textId="4A6C3B43" w:rsidR="005C350B" w:rsidRPr="005E0F36" w:rsidRDefault="005C350B" w:rsidP="005E0F36">
      <w:pPr>
        <w:pStyle w:val="Heading3"/>
      </w:pPr>
      <w:bookmarkStart w:id="18" w:name="_Toc121996063"/>
      <w:r w:rsidRPr="005E0F36">
        <w:t>Staff training</w:t>
      </w:r>
      <w:bookmarkEnd w:id="18"/>
    </w:p>
    <w:p w14:paraId="6123F416" w14:textId="41539CDD" w:rsidR="00605FD5" w:rsidRDefault="00605FD5" w:rsidP="00126B67">
      <w:r>
        <w:t xml:space="preserve">The responses from the </w:t>
      </w:r>
      <w:r w:rsidR="008D5492">
        <w:t>Code Signatories</w:t>
      </w:r>
      <w:r>
        <w:t xml:space="preserve"> this year highlight the significant training efforts undertaken within the organisations to promote compliance with the Code.</w:t>
      </w:r>
    </w:p>
    <w:p w14:paraId="34C0D051" w14:textId="3949D959" w:rsidR="00DC26C9" w:rsidRDefault="00DC4828" w:rsidP="007E7FBE">
      <w:r>
        <w:t xml:space="preserve">Each signatory has formal training arrangements in place for their buying teams. </w:t>
      </w:r>
    </w:p>
    <w:p w14:paraId="352A64DD" w14:textId="20B26DF1" w:rsidR="005C350B" w:rsidRPr="007E7FBE" w:rsidRDefault="00DC4828" w:rsidP="007E7FBE">
      <w:pPr>
        <w:pStyle w:val="Bullet"/>
      </w:pPr>
      <w:r w:rsidRPr="007E7FBE">
        <w:t>Woolworths</w:t>
      </w:r>
      <w:r w:rsidR="00834104" w:rsidRPr="007E7FBE">
        <w:t>,</w:t>
      </w:r>
      <w:r w:rsidRPr="007E7FBE">
        <w:t xml:space="preserve"> Coles</w:t>
      </w:r>
      <w:r w:rsidR="00834104" w:rsidRPr="007E7FBE">
        <w:t xml:space="preserve"> and Metcash</w:t>
      </w:r>
      <w:r w:rsidRPr="007E7FBE">
        <w:t xml:space="preserve"> stated that </w:t>
      </w:r>
      <w:r w:rsidR="006E3267" w:rsidRPr="007E7FBE">
        <w:t xml:space="preserve">they </w:t>
      </w:r>
      <w:r w:rsidRPr="007E7FBE">
        <w:t>have mandatory training for new buying team members which must be completed with</w:t>
      </w:r>
      <w:r w:rsidR="00634F2B" w:rsidRPr="007E7FBE">
        <w:t>in</w:t>
      </w:r>
      <w:r w:rsidRPr="007E7FBE">
        <w:t xml:space="preserve"> 20 days of commencing the role. </w:t>
      </w:r>
      <w:r w:rsidR="00DC26C9" w:rsidRPr="007E7FBE">
        <w:t>Aldi provides hardcopy training material to new employees in the first 20 days.</w:t>
      </w:r>
    </w:p>
    <w:p w14:paraId="3D747B83" w14:textId="055EF51B" w:rsidR="006D3D07" w:rsidRPr="007E7FBE" w:rsidRDefault="00CE08D6" w:rsidP="007E7FBE">
      <w:pPr>
        <w:pStyle w:val="Bullet"/>
      </w:pPr>
      <w:r w:rsidRPr="007E7FBE">
        <w:t xml:space="preserve">All the </w:t>
      </w:r>
      <w:r w:rsidR="008D5492" w:rsidRPr="007E7FBE">
        <w:t>Code Signatories</w:t>
      </w:r>
      <w:r w:rsidRPr="007E7FBE">
        <w:t xml:space="preserve"> require </w:t>
      </w:r>
      <w:r w:rsidR="00DC26C9" w:rsidRPr="007E7FBE">
        <w:t xml:space="preserve">training </w:t>
      </w:r>
      <w:r w:rsidRPr="007E7FBE">
        <w:t xml:space="preserve">on the Code annually </w:t>
      </w:r>
      <w:r w:rsidR="00DC26C9" w:rsidRPr="007E7FBE">
        <w:t>for relevant staff</w:t>
      </w:r>
      <w:r w:rsidRPr="007E7FBE">
        <w:t>, consisting of either face</w:t>
      </w:r>
      <w:r w:rsidR="003E7DEA">
        <w:noBreakHyphen/>
      </w:r>
      <w:r w:rsidRPr="007E7FBE">
        <w:t>to</w:t>
      </w:r>
      <w:r w:rsidR="003E7DEA">
        <w:noBreakHyphen/>
      </w:r>
      <w:r w:rsidRPr="007E7FBE">
        <w:t>face or online training, or a combination of both.</w:t>
      </w:r>
    </w:p>
    <w:p w14:paraId="34BBAA70" w14:textId="1C33AD0A" w:rsidR="006D3D07" w:rsidRDefault="008D5492" w:rsidP="007E7FBE">
      <w:r>
        <w:t>Code Signatories</w:t>
      </w:r>
      <w:r w:rsidR="006D3D07">
        <w:t xml:space="preserve"> test staff knowledge of the Code as part of their training.</w:t>
      </w:r>
    </w:p>
    <w:p w14:paraId="5E5C66E7" w14:textId="050C8EC0" w:rsidR="00593F85" w:rsidRPr="007E7FBE" w:rsidRDefault="006D3D07" w:rsidP="007E7FBE">
      <w:pPr>
        <w:pStyle w:val="Bullet"/>
      </w:pPr>
      <w:r w:rsidRPr="007E7FBE">
        <w:t>Woolworths, Coles</w:t>
      </w:r>
      <w:r w:rsidR="00634F2B" w:rsidRPr="007E7FBE">
        <w:t>,</w:t>
      </w:r>
      <w:r w:rsidRPr="007E7FBE">
        <w:t xml:space="preserve"> and Metcash</w:t>
      </w:r>
      <w:r w:rsidR="003E7DEA">
        <w:t>’</w:t>
      </w:r>
      <w:r w:rsidRPr="007E7FBE">
        <w:t>s training include competency assessments</w:t>
      </w:r>
      <w:r w:rsidR="00593F85" w:rsidRPr="007E7FBE">
        <w:t>.</w:t>
      </w:r>
    </w:p>
    <w:p w14:paraId="2937EB74" w14:textId="595374B4" w:rsidR="00593F85" w:rsidRPr="007E7FBE" w:rsidRDefault="00593F85" w:rsidP="007E7FBE">
      <w:pPr>
        <w:pStyle w:val="Bullet"/>
      </w:pPr>
      <w:r w:rsidRPr="007E7FBE">
        <w:t>Aldi, Metcash</w:t>
      </w:r>
      <w:r w:rsidR="00634F2B" w:rsidRPr="007E7FBE">
        <w:t>,</w:t>
      </w:r>
      <w:r w:rsidRPr="007E7FBE">
        <w:t xml:space="preserve"> and Coles stated they provide supplementary training on specific areas of the Code, using case studies.</w:t>
      </w:r>
    </w:p>
    <w:p w14:paraId="6E973F46" w14:textId="3FDC9EFF" w:rsidR="00DC26C9" w:rsidRPr="007E7FBE" w:rsidRDefault="00593F85" w:rsidP="007E7FBE">
      <w:pPr>
        <w:pStyle w:val="Bullet"/>
      </w:pPr>
      <w:r w:rsidRPr="007E7FBE">
        <w:t>Woolworths note</w:t>
      </w:r>
      <w:r w:rsidR="000245EE" w:rsidRPr="007E7FBE">
        <w:t>d</w:t>
      </w:r>
      <w:r w:rsidRPr="007E7FBE">
        <w:t xml:space="preserve"> that additional training is sometimes provided where </w:t>
      </w:r>
      <w:r w:rsidR="006E3267" w:rsidRPr="007E7FBE">
        <w:t xml:space="preserve">survey feedback from </w:t>
      </w:r>
      <w:r w:rsidRPr="007E7FBE">
        <w:t>suppliers indicate further training may be beneficial.</w:t>
      </w:r>
      <w:r w:rsidR="006D3D07" w:rsidRPr="007E7FBE">
        <w:t xml:space="preserve"> </w:t>
      </w:r>
    </w:p>
    <w:p w14:paraId="4DDEAEC3" w14:textId="2939EF1D" w:rsidR="005C350B" w:rsidRPr="005E0F36" w:rsidRDefault="005C350B" w:rsidP="005E0F36">
      <w:pPr>
        <w:pStyle w:val="Heading3"/>
      </w:pPr>
      <w:bookmarkStart w:id="19" w:name="_Toc121996064"/>
      <w:r w:rsidRPr="005E0F36">
        <w:t>Price increase notifications and negotiations</w:t>
      </w:r>
      <w:bookmarkEnd w:id="19"/>
    </w:p>
    <w:p w14:paraId="2E33EE0A" w14:textId="28119A68" w:rsidR="005C350B" w:rsidRDefault="001E008B" w:rsidP="00126B67">
      <w:r>
        <w:t xml:space="preserve">The </w:t>
      </w:r>
      <w:r w:rsidR="008D5492">
        <w:t>Code Signatories</w:t>
      </w:r>
      <w:r>
        <w:t xml:space="preserve"> saw an unprecedented increase in the number of price increase requests from suppliers throughout 2021</w:t>
      </w:r>
      <w:r w:rsidR="00FC6590">
        <w:t>–</w:t>
      </w:r>
      <w:r>
        <w:t xml:space="preserve">22. Each </w:t>
      </w:r>
      <w:r w:rsidR="006B3829">
        <w:t>S</w:t>
      </w:r>
      <w:r>
        <w:t xml:space="preserve">ignatory </w:t>
      </w:r>
      <w:r w:rsidR="00407A84">
        <w:t>has provided</w:t>
      </w:r>
      <w:r>
        <w:t xml:space="preserve"> add</w:t>
      </w:r>
      <w:r w:rsidR="00407A84">
        <w:t xml:space="preserve">itional </w:t>
      </w:r>
      <w:r>
        <w:t>staff</w:t>
      </w:r>
      <w:r w:rsidR="00407A84">
        <w:t xml:space="preserve"> and resources to help process requests in a reasonable and timely manner</w:t>
      </w:r>
      <w:r w:rsidR="00D961BB">
        <w:t xml:space="preserve">. </w:t>
      </w:r>
    </w:p>
    <w:p w14:paraId="5A2533B2" w14:textId="50F5DCE9" w:rsidR="001E008B" w:rsidRDefault="008D5492" w:rsidP="00126B67">
      <w:r>
        <w:t>Code Signatories</w:t>
      </w:r>
      <w:r w:rsidR="00D961BB">
        <w:t xml:space="preserve"> also reported reviewing their internal processes to ensure suppliers receive responses to price rise requests within 30 days</w:t>
      </w:r>
      <w:r w:rsidR="000B41A0">
        <w:t>,</w:t>
      </w:r>
      <w:r w:rsidR="00D961BB">
        <w:t xml:space="preserve"> as required by the Code</w:t>
      </w:r>
      <w:r w:rsidR="000B41A0">
        <w:t>,</w:t>
      </w:r>
      <w:r w:rsidR="00D961BB">
        <w:t xml:space="preserve"> and </w:t>
      </w:r>
      <w:r w:rsidR="000B41A0">
        <w:t xml:space="preserve">to </w:t>
      </w:r>
      <w:r w:rsidR="001E008B">
        <w:t>improv</w:t>
      </w:r>
      <w:r w:rsidR="00D961BB">
        <w:t>e the suppliers</w:t>
      </w:r>
      <w:r w:rsidR="003E7DEA">
        <w:t>’</w:t>
      </w:r>
      <w:r w:rsidR="00D961BB">
        <w:t xml:space="preserve"> experience</w:t>
      </w:r>
      <w:r w:rsidR="001E008B">
        <w:t xml:space="preserve"> </w:t>
      </w:r>
      <w:r w:rsidR="00D961BB">
        <w:t>initiating and detailing a p</w:t>
      </w:r>
      <w:r w:rsidR="001E008B">
        <w:t>rice increase</w:t>
      </w:r>
      <w:r w:rsidR="00D961BB">
        <w:t xml:space="preserve"> request</w:t>
      </w:r>
      <w:r w:rsidR="001E008B">
        <w:t>.</w:t>
      </w:r>
    </w:p>
    <w:p w14:paraId="34993461" w14:textId="0820DC9E" w:rsidR="00C337D1" w:rsidRDefault="001E008B" w:rsidP="00126B67">
      <w:r>
        <w:t xml:space="preserve">Where </w:t>
      </w:r>
      <w:r w:rsidR="008D5492">
        <w:t>Code Signatories</w:t>
      </w:r>
      <w:r>
        <w:t xml:space="preserve"> took more than 30 days to conclude negotiations around price increases</w:t>
      </w:r>
      <w:r w:rsidR="005B2EBC">
        <w:t xml:space="preserve">, </w:t>
      </w:r>
      <w:r w:rsidR="00676B7C">
        <w:t>the cause was attributed to</w:t>
      </w:r>
      <w:r w:rsidR="00C337D1">
        <w:t>:</w:t>
      </w:r>
    </w:p>
    <w:p w14:paraId="35DC079C" w14:textId="0A3B7F17" w:rsidR="00C337D1" w:rsidRDefault="001F59A5" w:rsidP="00C337D1">
      <w:pPr>
        <w:pStyle w:val="Bullet"/>
      </w:pPr>
      <w:r>
        <w:lastRenderedPageBreak/>
        <w:t xml:space="preserve">the supplier notifying </w:t>
      </w:r>
      <w:r w:rsidR="00676B7C">
        <w:t xml:space="preserve">the </w:t>
      </w:r>
      <w:r w:rsidR="006B3829">
        <w:t>S</w:t>
      </w:r>
      <w:r w:rsidR="00676B7C">
        <w:t>ignatory</w:t>
      </w:r>
      <w:r>
        <w:t xml:space="preserve"> </w:t>
      </w:r>
      <w:r w:rsidR="00676B7C">
        <w:t xml:space="preserve">that </w:t>
      </w:r>
      <w:r>
        <w:t xml:space="preserve">it wished to enter negotiations </w:t>
      </w:r>
      <w:r w:rsidR="00DA12AC">
        <w:t xml:space="preserve">after </w:t>
      </w:r>
      <w:r>
        <w:t>the initial 30</w:t>
      </w:r>
      <w:r w:rsidR="003E7DEA">
        <w:noBreakHyphen/>
      </w:r>
      <w:r>
        <w:t>day period</w:t>
      </w:r>
      <w:r w:rsidR="00DA12AC">
        <w:t xml:space="preserve"> had passed</w:t>
      </w:r>
      <w:r w:rsidR="00CF52C0">
        <w:t>.</w:t>
      </w:r>
      <w:r w:rsidR="00676B7C">
        <w:t xml:space="preserve"> </w:t>
      </w:r>
    </w:p>
    <w:p w14:paraId="153E9E10" w14:textId="6FBC5E08" w:rsidR="001E008B" w:rsidRDefault="00C337D1" w:rsidP="00C337D1">
      <w:pPr>
        <w:pStyle w:val="Bullet"/>
      </w:pPr>
      <w:r>
        <w:t xml:space="preserve">complex pricing and promotional structures, which </w:t>
      </w:r>
      <w:r w:rsidR="000B41A0">
        <w:t xml:space="preserve">often resulted in </w:t>
      </w:r>
      <w:r w:rsidR="00830CA7">
        <w:t xml:space="preserve">multiple iterations of requests </w:t>
      </w:r>
      <w:r w:rsidR="000B41A0">
        <w:t xml:space="preserve">being </w:t>
      </w:r>
      <w:r w:rsidR="00830CA7">
        <w:t>made.</w:t>
      </w:r>
    </w:p>
    <w:p w14:paraId="612E0163" w14:textId="3A96B1E6" w:rsidR="005C350B" w:rsidRPr="005E0F36" w:rsidRDefault="00901BC8" w:rsidP="005E0F36">
      <w:pPr>
        <w:pStyle w:val="Heading3"/>
      </w:pPr>
      <w:bookmarkStart w:id="20" w:name="_Toc121996065"/>
      <w:r w:rsidRPr="005E0F36">
        <w:t xml:space="preserve">Cost of </w:t>
      </w:r>
      <w:r w:rsidR="00605FD5" w:rsidRPr="005E0F36">
        <w:t>compliance with</w:t>
      </w:r>
      <w:r w:rsidRPr="005E0F36">
        <w:t xml:space="preserve"> the Code</w:t>
      </w:r>
      <w:bookmarkEnd w:id="20"/>
    </w:p>
    <w:p w14:paraId="5F0B49A6" w14:textId="68E8588E" w:rsidR="00126B67" w:rsidRDefault="00001E5A" w:rsidP="00001E5A">
      <w:r>
        <w:t xml:space="preserve">The </w:t>
      </w:r>
      <w:r w:rsidR="008D5492">
        <w:t>Code Signatories</w:t>
      </w:r>
      <w:r>
        <w:t xml:space="preserve"> acknowledged the costs associated with implementing the requirements of the Code, including staff training, reporting requirements</w:t>
      </w:r>
      <w:r w:rsidR="00F67E14">
        <w:t>,</w:t>
      </w:r>
      <w:r>
        <w:t xml:space="preserve"> and Code Arbiter fees</w:t>
      </w:r>
      <w:r w:rsidR="00F67E14">
        <w:t>;</w:t>
      </w:r>
      <w:r>
        <w:t xml:space="preserve"> </w:t>
      </w:r>
      <w:r w:rsidR="00CC56DE">
        <w:t>however,</w:t>
      </w:r>
      <w:r>
        <w:t xml:space="preserve"> all noted the impl</w:t>
      </w:r>
      <w:r w:rsidR="003225C8">
        <w:t>ementation</w:t>
      </w:r>
      <w:r>
        <w:t xml:space="preserve"> of the Code has led to positive cultural change in the dealings between </w:t>
      </w:r>
      <w:r w:rsidR="00F67E14">
        <w:t xml:space="preserve">the </w:t>
      </w:r>
      <w:r w:rsidR="008D5492">
        <w:t>Code Signatories</w:t>
      </w:r>
      <w:r>
        <w:t xml:space="preserve"> and suppliers.</w:t>
      </w:r>
    </w:p>
    <w:p w14:paraId="413C3406" w14:textId="36F611CC" w:rsidR="009D47E5" w:rsidRPr="003D3A6D" w:rsidRDefault="009D47E5" w:rsidP="00816C2C">
      <w:pPr>
        <w:pStyle w:val="Heading1"/>
      </w:pPr>
      <w:bookmarkStart w:id="21" w:name="_Toc121996066"/>
      <w:r w:rsidRPr="003D3A6D">
        <w:t>Complaints reviewed during the 2021</w:t>
      </w:r>
      <w:r w:rsidR="00FC6590" w:rsidRPr="003D3A6D">
        <w:t>–</w:t>
      </w:r>
      <w:r w:rsidRPr="003D3A6D">
        <w:t>22 year</w:t>
      </w:r>
      <w:bookmarkEnd w:id="21"/>
    </w:p>
    <w:p w14:paraId="66BEFD4A" w14:textId="13BFD171" w:rsidR="0010471B" w:rsidRPr="00C07A22" w:rsidRDefault="009D47E5" w:rsidP="0010471B">
      <w:pPr>
        <w:pStyle w:val="Bullet"/>
        <w:numPr>
          <w:ilvl w:val="0"/>
          <w:numId w:val="0"/>
        </w:numPr>
        <w:rPr>
          <w:sz w:val="21"/>
          <w:szCs w:val="21"/>
        </w:rPr>
      </w:pPr>
      <w:r>
        <w:t>The Independent Reviewer did</w:t>
      </w:r>
      <w:r w:rsidRPr="009D47E5">
        <w:t xml:space="preserve"> not receive any supplier requests to review the complaints handling processes conducted by the Code Arbiters </w:t>
      </w:r>
      <w:r w:rsidR="0071568C">
        <w:t>during the reporting period</w:t>
      </w:r>
      <w:r w:rsidRPr="009D47E5">
        <w:t>.</w:t>
      </w:r>
      <w:r w:rsidR="0010471B">
        <w:t xml:space="preserve"> </w:t>
      </w:r>
      <w:r w:rsidR="0010471B" w:rsidRPr="00E377F6">
        <w:rPr>
          <w:szCs w:val="22"/>
        </w:rPr>
        <w:t>However, the Independent Reviewer received such a request a few weeks after the reporting period which related to activities during the reporting period. Therefore, that complaint is included in this report.</w:t>
      </w:r>
    </w:p>
    <w:p w14:paraId="6937A28A" w14:textId="487EACD1" w:rsidR="00583B36" w:rsidRDefault="009103EB" w:rsidP="00001E5A">
      <w:r>
        <w:t>The</w:t>
      </w:r>
      <w:r w:rsidR="0010471B">
        <w:t xml:space="preserve"> Independent Reviewer received a </w:t>
      </w:r>
      <w:r>
        <w:t xml:space="preserve">request </w:t>
      </w:r>
      <w:r w:rsidR="0010471B">
        <w:t xml:space="preserve">from a supplier to review a decision by the Coles Code Arbiter. </w:t>
      </w:r>
      <w:r w:rsidR="00CC56DE">
        <w:t>O</w:t>
      </w:r>
      <w:r w:rsidR="00D8707E">
        <w:t>n 21</w:t>
      </w:r>
      <w:r w:rsidR="00974384">
        <w:t> </w:t>
      </w:r>
      <w:r w:rsidR="00D8707E">
        <w:t>September</w:t>
      </w:r>
      <w:r w:rsidR="00974384">
        <w:t> </w:t>
      </w:r>
      <w:r w:rsidR="00D8707E">
        <w:t>2022, t</w:t>
      </w:r>
      <w:r>
        <w:t xml:space="preserve">he Independent Reviewer notified the </w:t>
      </w:r>
      <w:r w:rsidR="00395B82">
        <w:t xml:space="preserve">Coles </w:t>
      </w:r>
      <w:r>
        <w:t>Code Arbiter</w:t>
      </w:r>
      <w:r w:rsidR="00C9044B">
        <w:t xml:space="preserve">, </w:t>
      </w:r>
      <w:r w:rsidR="00F40EE3">
        <w:t>Coles</w:t>
      </w:r>
      <w:r w:rsidR="00D8707E">
        <w:t>,</w:t>
      </w:r>
      <w:r w:rsidR="00C9044B">
        <w:t xml:space="preserve"> and the supplier</w:t>
      </w:r>
      <w:r>
        <w:t xml:space="preserve"> that he was conducting a review of the </w:t>
      </w:r>
      <w:r w:rsidR="00EC1457">
        <w:t xml:space="preserve">complaints handling </w:t>
      </w:r>
      <w:r>
        <w:t>process</w:t>
      </w:r>
      <w:r w:rsidR="00EC1457">
        <w:t xml:space="preserve"> </w:t>
      </w:r>
      <w:r w:rsidR="00C9044B">
        <w:t xml:space="preserve">and requested </w:t>
      </w:r>
      <w:r w:rsidR="0064332B">
        <w:t>that the Code Arbiter provide the</w:t>
      </w:r>
      <w:r w:rsidR="00C9044B">
        <w:t xml:space="preserve"> files </w:t>
      </w:r>
      <w:r w:rsidR="0064332B">
        <w:t>and documents related to the complaint</w:t>
      </w:r>
      <w:r w:rsidR="00C9044B">
        <w:t xml:space="preserve"> as part of this </w:t>
      </w:r>
      <w:r w:rsidR="0064332B">
        <w:t>independent review</w:t>
      </w:r>
      <w:r w:rsidR="00C9044B">
        <w:t xml:space="preserve"> process. Th</w:t>
      </w:r>
      <w:r w:rsidR="002412AB">
        <w:t>o</w:t>
      </w:r>
      <w:r w:rsidR="00C9044B">
        <w:t xml:space="preserve">se files were provided </w:t>
      </w:r>
      <w:r w:rsidR="0064332B">
        <w:t xml:space="preserve">by the </w:t>
      </w:r>
      <w:r w:rsidR="00D07404">
        <w:t xml:space="preserve">Coles </w:t>
      </w:r>
      <w:r w:rsidR="00F40EE3">
        <w:t xml:space="preserve">Code Arbiter </w:t>
      </w:r>
      <w:r w:rsidR="00C9044B">
        <w:t xml:space="preserve">on </w:t>
      </w:r>
      <w:r w:rsidR="00224968">
        <w:t>7</w:t>
      </w:r>
      <w:r w:rsidR="00974384">
        <w:t> </w:t>
      </w:r>
      <w:r w:rsidR="00224968">
        <w:t>October</w:t>
      </w:r>
      <w:r w:rsidR="00974384">
        <w:t> </w:t>
      </w:r>
      <w:r w:rsidR="00224968">
        <w:t>2022</w:t>
      </w:r>
      <w:r w:rsidR="00583B36">
        <w:t>.</w:t>
      </w:r>
    </w:p>
    <w:p w14:paraId="18C35789" w14:textId="1745C3E0" w:rsidR="005D7894" w:rsidRDefault="00583B36" w:rsidP="00001E5A">
      <w:r>
        <w:t xml:space="preserve">The Independent Reviewer provided his final decision to </w:t>
      </w:r>
      <w:r w:rsidR="000D0FF5">
        <w:t xml:space="preserve">the </w:t>
      </w:r>
      <w:r w:rsidR="00395B82">
        <w:t xml:space="preserve">Coles </w:t>
      </w:r>
      <w:r>
        <w:t>Code Arbiter on 27</w:t>
      </w:r>
      <w:r w:rsidR="00974384">
        <w:t> </w:t>
      </w:r>
      <w:r>
        <w:t>Octobe</w:t>
      </w:r>
      <w:r w:rsidR="00974384">
        <w:t>r </w:t>
      </w:r>
      <w:r>
        <w:t xml:space="preserve">2022, recommending that the Code Arbiter </w:t>
      </w:r>
      <w:r w:rsidR="000D0FF5">
        <w:t>reconsider the matter on the basis that it was not clear</w:t>
      </w:r>
      <w:r w:rsidR="00D8707E">
        <w:t xml:space="preserve"> that</w:t>
      </w:r>
      <w:r w:rsidR="000D0FF5">
        <w:t xml:space="preserve"> </w:t>
      </w:r>
      <w:r w:rsidR="00F40EE3">
        <w:t xml:space="preserve">Coles </w:t>
      </w:r>
      <w:r w:rsidR="000D0FF5">
        <w:t>had provided reasonable notice to the supplier of a delisting of products, nor provided genuine commercial reasons a</w:t>
      </w:r>
      <w:r w:rsidR="0064332B">
        <w:t>s</w:t>
      </w:r>
      <w:r w:rsidR="000D0FF5">
        <w:t xml:space="preserve"> part of that notice, as required by the Code. </w:t>
      </w:r>
    </w:p>
    <w:p w14:paraId="30DB7235" w14:textId="4D1DFEAA" w:rsidR="00540A23" w:rsidRDefault="00F760C5" w:rsidP="00001E5A">
      <w:r>
        <w:t>On 9</w:t>
      </w:r>
      <w:r w:rsidR="00974384">
        <w:t> </w:t>
      </w:r>
      <w:r>
        <w:t>November</w:t>
      </w:r>
      <w:r w:rsidR="00974384">
        <w:t> </w:t>
      </w:r>
      <w:r>
        <w:t xml:space="preserve">2022, the Code Arbiter notified the Independent Reviewer that </w:t>
      </w:r>
      <w:r w:rsidR="00F40EE3">
        <w:t xml:space="preserve">he </w:t>
      </w:r>
      <w:r>
        <w:t xml:space="preserve">had </w:t>
      </w:r>
      <w:r w:rsidR="006A5D90">
        <w:t xml:space="preserve">considered the recommendations </w:t>
      </w:r>
      <w:r w:rsidR="00D07404">
        <w:t xml:space="preserve">of the Independent Reviewer </w:t>
      </w:r>
      <w:r w:rsidR="006A5D90">
        <w:t xml:space="preserve">and </w:t>
      </w:r>
      <w:r w:rsidR="00F40EE3">
        <w:t>the Code Arbiter</w:t>
      </w:r>
      <w:r w:rsidR="003E7DEA">
        <w:t>’</w:t>
      </w:r>
      <w:r w:rsidR="00F40EE3">
        <w:t xml:space="preserve">s </w:t>
      </w:r>
      <w:r w:rsidR="006A5D90">
        <w:t>findings remained unchanged</w:t>
      </w:r>
      <w:r w:rsidR="00D07404">
        <w:t xml:space="preserve"> – i.e. the Code Arbiter rejected all recommendations</w:t>
      </w:r>
      <w:r w:rsidR="006A5D90" w:rsidDel="00D07404">
        <w:t>.</w:t>
      </w:r>
    </w:p>
    <w:tbl>
      <w:tblPr>
        <w:tblStyle w:val="TableGrid"/>
        <w:tblW w:w="0" w:type="auto"/>
        <w:tblLook w:val="04A0" w:firstRow="1" w:lastRow="0" w:firstColumn="1" w:lastColumn="0" w:noHBand="0" w:noVBand="1"/>
      </w:tblPr>
      <w:tblGrid>
        <w:gridCol w:w="9072"/>
      </w:tblGrid>
      <w:tr w:rsidR="005807C4" w14:paraId="034D610E" w14:textId="77777777" w:rsidTr="005807C4">
        <w:tc>
          <w:tcPr>
            <w:tcW w:w="9072" w:type="dxa"/>
            <w:shd w:val="clear" w:color="auto" w:fill="185E7A" w:themeFill="accent2"/>
          </w:tcPr>
          <w:p w14:paraId="6B710399" w14:textId="77777777" w:rsidR="005807C4" w:rsidRPr="00FF6FFE" w:rsidRDefault="005807C4" w:rsidP="00FF6FFE">
            <w:pPr>
              <w:pStyle w:val="BoxHeading"/>
              <w:rPr>
                <w:color w:val="FFFFFF" w:themeColor="background1"/>
              </w:rPr>
            </w:pPr>
            <w:r w:rsidRPr="00FF6FFE">
              <w:rPr>
                <w:color w:val="FFFFFF" w:themeColor="background1"/>
              </w:rPr>
              <w:t>Independent Reviewer commentary:</w:t>
            </w:r>
          </w:p>
          <w:p w14:paraId="69A3F7AB" w14:textId="0A57992E" w:rsidR="005807C4" w:rsidRPr="003D3A6D" w:rsidRDefault="005807C4" w:rsidP="003D3A6D">
            <w:pPr>
              <w:pStyle w:val="BoxBullet"/>
              <w:rPr>
                <w:color w:val="FFFFFF" w:themeColor="background1"/>
              </w:rPr>
            </w:pPr>
            <w:r w:rsidRPr="003D3A6D">
              <w:rPr>
                <w:color w:val="FFFFFF" w:themeColor="background1"/>
              </w:rPr>
              <w:t>I am satisfied that Coles did not comply with the Code</w:t>
            </w:r>
            <w:r w:rsidR="00FB3B89" w:rsidRPr="003D3A6D">
              <w:rPr>
                <w:color w:val="FFFFFF" w:themeColor="background1"/>
              </w:rPr>
              <w:t xml:space="preserve"> – my specific concerns were detailed in my draft and final decisions</w:t>
            </w:r>
            <w:r w:rsidR="00E2486B" w:rsidRPr="003D3A6D">
              <w:rPr>
                <w:color w:val="FFFFFF" w:themeColor="background1"/>
              </w:rPr>
              <w:t>, which were provided</w:t>
            </w:r>
            <w:r w:rsidR="00FB3B89" w:rsidRPr="003D3A6D">
              <w:rPr>
                <w:color w:val="FFFFFF" w:themeColor="background1"/>
              </w:rPr>
              <w:t xml:space="preserve"> to the Code Arbiter</w:t>
            </w:r>
            <w:r w:rsidR="001F2137" w:rsidRPr="003D3A6D">
              <w:rPr>
                <w:color w:val="FFFFFF" w:themeColor="background1"/>
              </w:rPr>
              <w:t xml:space="preserve"> and to Coles</w:t>
            </w:r>
            <w:r w:rsidR="00FB3B89" w:rsidRPr="003D3A6D">
              <w:rPr>
                <w:color w:val="FFFFFF" w:themeColor="background1"/>
              </w:rPr>
              <w:t>.</w:t>
            </w:r>
          </w:p>
          <w:p w14:paraId="52615B53" w14:textId="5B7FEABD" w:rsidR="005807C4" w:rsidRPr="003D3A6D" w:rsidRDefault="005807C4" w:rsidP="003D3A6D">
            <w:pPr>
              <w:pStyle w:val="BoxBullet"/>
              <w:rPr>
                <w:color w:val="FFFFFF" w:themeColor="background1"/>
              </w:rPr>
            </w:pPr>
            <w:r w:rsidRPr="003D3A6D">
              <w:rPr>
                <w:color w:val="FFFFFF" w:themeColor="background1"/>
              </w:rPr>
              <w:t>I am satisfied that the Code Arbiter</w:t>
            </w:r>
            <w:r w:rsidR="003E7DEA">
              <w:rPr>
                <w:color w:val="FFFFFF" w:themeColor="background1"/>
              </w:rPr>
              <w:t>’</w:t>
            </w:r>
            <w:r w:rsidRPr="003D3A6D">
              <w:rPr>
                <w:color w:val="FFFFFF" w:themeColor="background1"/>
              </w:rPr>
              <w:t xml:space="preserve">s decision was flawed. </w:t>
            </w:r>
            <w:r w:rsidR="000051BF" w:rsidRPr="003D3A6D">
              <w:rPr>
                <w:color w:val="FFFFFF" w:themeColor="background1"/>
              </w:rPr>
              <w:t>Also, t</w:t>
            </w:r>
            <w:r w:rsidRPr="003D3A6D">
              <w:rPr>
                <w:color w:val="FFFFFF" w:themeColor="background1"/>
              </w:rPr>
              <w:t>he Code Arbiter has declined to comply with the recommendations resulting from my Independent Review.</w:t>
            </w:r>
          </w:p>
          <w:p w14:paraId="603756CF" w14:textId="77777777" w:rsidR="005807C4" w:rsidRPr="003D3A6D" w:rsidRDefault="005807C4" w:rsidP="003D3A6D">
            <w:pPr>
              <w:pStyle w:val="BoxBullet"/>
              <w:rPr>
                <w:color w:val="FFFFFF" w:themeColor="background1"/>
              </w:rPr>
            </w:pPr>
            <w:r w:rsidRPr="003D3A6D">
              <w:rPr>
                <w:color w:val="FFFFFF" w:themeColor="background1"/>
              </w:rPr>
              <w:t>I have written to the ACCC noting my concerns, and recommending that the ACCC take certain actions.</w:t>
            </w:r>
          </w:p>
          <w:p w14:paraId="1FF0EEE9" w14:textId="671092EA" w:rsidR="00FB3B89" w:rsidRPr="003D3A6D" w:rsidRDefault="00FB3B89" w:rsidP="003D3A6D">
            <w:pPr>
              <w:pStyle w:val="BoxBullet"/>
              <w:rPr>
                <w:color w:val="FFFFFF" w:themeColor="background1"/>
              </w:rPr>
            </w:pPr>
            <w:r w:rsidRPr="003D3A6D">
              <w:rPr>
                <w:color w:val="FFFFFF" w:themeColor="background1"/>
              </w:rPr>
              <w:t>Coles has also advised me that they do not agree with my decision.</w:t>
            </w:r>
          </w:p>
          <w:p w14:paraId="45561515" w14:textId="572DC6F2" w:rsidR="00FB3B89" w:rsidRPr="003D3A6D" w:rsidRDefault="00FB3B89" w:rsidP="003D3A6D">
            <w:pPr>
              <w:pStyle w:val="BoxBullet"/>
              <w:rPr>
                <w:color w:val="FFFFFF" w:themeColor="background1"/>
              </w:rPr>
            </w:pPr>
            <w:r w:rsidRPr="003D3A6D">
              <w:rPr>
                <w:color w:val="FFFFFF" w:themeColor="background1"/>
              </w:rPr>
              <w:t xml:space="preserve">My concerns regarding Coles, and its Code Arbiter, highlight the need to strengthen the Code. I have </w:t>
            </w:r>
            <w:r w:rsidR="001F2137" w:rsidRPr="003D3A6D">
              <w:rPr>
                <w:color w:val="FFFFFF" w:themeColor="background1"/>
              </w:rPr>
              <w:t xml:space="preserve">briefly </w:t>
            </w:r>
            <w:r w:rsidRPr="003D3A6D">
              <w:rPr>
                <w:color w:val="FFFFFF" w:themeColor="background1"/>
              </w:rPr>
              <w:t xml:space="preserve">outlined </w:t>
            </w:r>
            <w:r w:rsidR="001F2137" w:rsidRPr="003D3A6D">
              <w:rPr>
                <w:color w:val="FFFFFF" w:themeColor="background1"/>
              </w:rPr>
              <w:t xml:space="preserve">my </w:t>
            </w:r>
            <w:r w:rsidRPr="003D3A6D">
              <w:rPr>
                <w:color w:val="FFFFFF" w:themeColor="background1"/>
              </w:rPr>
              <w:t>proposed changes to the Code later in this report.</w:t>
            </w:r>
          </w:p>
          <w:p w14:paraId="65469EC2" w14:textId="77777777" w:rsidR="003D3A6D" w:rsidRDefault="00FB3B89" w:rsidP="003D3A6D">
            <w:pPr>
              <w:pStyle w:val="BoxBullet"/>
              <w:rPr>
                <w:color w:val="FFFFFF" w:themeColor="background1"/>
              </w:rPr>
            </w:pPr>
            <w:r w:rsidRPr="003D3A6D">
              <w:rPr>
                <w:color w:val="FFFFFF" w:themeColor="background1"/>
              </w:rPr>
              <w:t xml:space="preserve">Where I agree with Coles is that greater clarity is </w:t>
            </w:r>
            <w:r w:rsidR="00BD0017" w:rsidRPr="003D3A6D">
              <w:rPr>
                <w:color w:val="FFFFFF" w:themeColor="background1"/>
              </w:rPr>
              <w:t>desirable</w:t>
            </w:r>
            <w:r w:rsidRPr="003D3A6D">
              <w:rPr>
                <w:color w:val="FFFFFF" w:themeColor="background1"/>
              </w:rPr>
              <w:t xml:space="preserve"> in the dispute handling provisions of the Code</w:t>
            </w:r>
            <w:r w:rsidR="001F2137" w:rsidRPr="003D3A6D">
              <w:rPr>
                <w:color w:val="FFFFFF" w:themeColor="background1"/>
              </w:rPr>
              <w:t>, and some published guidelines by the Independent Reviewer could be helpful.</w:t>
            </w:r>
          </w:p>
          <w:p w14:paraId="4631E5E5" w14:textId="38065062" w:rsidR="00FB3B89" w:rsidRPr="003D3A6D" w:rsidRDefault="001F2137" w:rsidP="003D3A6D">
            <w:pPr>
              <w:pStyle w:val="BoxBullet"/>
              <w:rPr>
                <w:color w:val="FFFFFF" w:themeColor="background1"/>
              </w:rPr>
            </w:pPr>
            <w:r w:rsidRPr="003D3A6D">
              <w:rPr>
                <w:color w:val="FFFFFF" w:themeColor="background1"/>
              </w:rPr>
              <w:t>I encourage all participants in the food and grocery sector to make submissions to the current Review of the Dispute Resolution Provisions of the Code.</w:t>
            </w:r>
            <w:r w:rsidR="00BD0017" w:rsidRPr="003D3A6D">
              <w:rPr>
                <w:color w:val="FFFFFF" w:themeColor="background1"/>
              </w:rPr>
              <w:t xml:space="preserve"> </w:t>
            </w:r>
          </w:p>
        </w:tc>
      </w:tr>
    </w:tbl>
    <w:p w14:paraId="3F033328" w14:textId="77777777" w:rsidR="00812640" w:rsidRDefault="00812640" w:rsidP="00126B67">
      <w:pPr>
        <w:pStyle w:val="Heading1"/>
        <w:sectPr w:rsidR="00812640" w:rsidSect="00B747ED">
          <w:pgSz w:w="11906" w:h="16838" w:code="9"/>
          <w:pgMar w:top="1417" w:right="1417" w:bottom="1417" w:left="1417" w:header="709" w:footer="709" w:gutter="0"/>
          <w:cols w:space="708"/>
          <w:docGrid w:linePitch="360"/>
        </w:sectPr>
      </w:pPr>
    </w:p>
    <w:p w14:paraId="31775A08" w14:textId="61C11E42" w:rsidR="00126B67" w:rsidRDefault="00126B67" w:rsidP="00126B67">
      <w:pPr>
        <w:pStyle w:val="Heading1"/>
      </w:pPr>
      <w:bookmarkStart w:id="22" w:name="_Toc121996067"/>
      <w:r>
        <w:lastRenderedPageBreak/>
        <w:t xml:space="preserve">Survey of suppliers to </w:t>
      </w:r>
      <w:r w:rsidR="008D5492">
        <w:t>Code Signatories</w:t>
      </w:r>
      <w:bookmarkEnd w:id="22"/>
    </w:p>
    <w:p w14:paraId="5B2C842C" w14:textId="3C191227" w:rsidR="00126B67" w:rsidRDefault="00126B67" w:rsidP="003D3A6D">
      <w:pPr>
        <w:pStyle w:val="Heading2"/>
      </w:pPr>
      <w:bookmarkStart w:id="23" w:name="_Toc121996068"/>
      <w:r>
        <w:t>Process for conducting the survey</w:t>
      </w:r>
      <w:bookmarkEnd w:id="23"/>
    </w:p>
    <w:p w14:paraId="0375CEF4" w14:textId="4102D5B5" w:rsidR="00452AC2" w:rsidRDefault="00A669EE" w:rsidP="000E7B49">
      <w:r>
        <w:t xml:space="preserve">The survey was developed and delivered by Treasury in its role as the secretariat for the Independent Reviewer, in consultation with key stakeholders. </w:t>
      </w:r>
      <w:r w:rsidR="000E7B49">
        <w:t>This year</w:t>
      </w:r>
      <w:r w:rsidR="003E7DEA">
        <w:t>’</w:t>
      </w:r>
      <w:r w:rsidR="000E7B49">
        <w:t xml:space="preserve">s survey </w:t>
      </w:r>
      <w:r w:rsidR="00452AC2">
        <w:t>wa</w:t>
      </w:r>
      <w:r w:rsidR="000E7B49">
        <w:t>s very similar to</w:t>
      </w:r>
      <w:r w:rsidR="00452AC2">
        <w:t xml:space="preserve"> the survey </w:t>
      </w:r>
      <w:r w:rsidR="0082576A">
        <w:t xml:space="preserve">conducted </w:t>
      </w:r>
      <w:r w:rsidR="00452AC2">
        <w:t xml:space="preserve">last year, </w:t>
      </w:r>
      <w:r w:rsidR="000E7B49">
        <w:t>with</w:t>
      </w:r>
      <w:r w:rsidR="00452AC2">
        <w:t xml:space="preserve"> some changes to make it easier for suppliers to complete. There were also </w:t>
      </w:r>
      <w:r w:rsidR="00164FD2">
        <w:t xml:space="preserve">changes to </w:t>
      </w:r>
      <w:r w:rsidR="00452AC2">
        <w:t xml:space="preserve">some survey questions to better align with the Code, so that the analysis could </w:t>
      </w:r>
      <w:r w:rsidR="002B4633">
        <w:t xml:space="preserve">more effectively </w:t>
      </w:r>
      <w:r w:rsidR="00452AC2">
        <w:t xml:space="preserve">inform the </w:t>
      </w:r>
      <w:r w:rsidR="008D5492">
        <w:t>Code Signatories</w:t>
      </w:r>
      <w:r w:rsidR="00452AC2">
        <w:t xml:space="preserve"> on how to improve their performance against the </w:t>
      </w:r>
      <w:r w:rsidR="002B4633">
        <w:t>Code</w:t>
      </w:r>
      <w:r w:rsidR="003E7DEA">
        <w:t>’</w:t>
      </w:r>
      <w:r w:rsidR="002B4633">
        <w:t xml:space="preserve">s </w:t>
      </w:r>
      <w:r w:rsidR="00452AC2">
        <w:t xml:space="preserve">requirements. </w:t>
      </w:r>
    </w:p>
    <w:p w14:paraId="3D789CF8" w14:textId="6F5EC501" w:rsidR="000E7B49" w:rsidRDefault="00D56709" w:rsidP="000E7B49">
      <w:r>
        <w:t xml:space="preserve">The survey was accessible from </w:t>
      </w:r>
      <w:r w:rsidRPr="00A669EE">
        <w:t>5</w:t>
      </w:r>
      <w:r w:rsidR="00974384">
        <w:t> </w:t>
      </w:r>
      <w:r w:rsidRPr="00A669EE">
        <w:t>September</w:t>
      </w:r>
      <w:r w:rsidR="00974384">
        <w:t> </w:t>
      </w:r>
      <w:r w:rsidRPr="00A669EE">
        <w:t>2022</w:t>
      </w:r>
      <w:r w:rsidRPr="00D56709">
        <w:t xml:space="preserve"> </w:t>
      </w:r>
      <w:r w:rsidRPr="003964EE">
        <w:t xml:space="preserve">until </w:t>
      </w:r>
      <w:r w:rsidRPr="00A669EE">
        <w:t>3</w:t>
      </w:r>
      <w:r w:rsidR="00974384">
        <w:t> </w:t>
      </w:r>
      <w:r w:rsidRPr="00A669EE">
        <w:t>October</w:t>
      </w:r>
      <w:r w:rsidR="00974384">
        <w:t> </w:t>
      </w:r>
      <w:r w:rsidRPr="00A669EE">
        <w:t>202</w:t>
      </w:r>
      <w:r w:rsidRPr="00633CC6">
        <w:t>2.</w:t>
      </w:r>
      <w:r>
        <w:t xml:space="preserve"> The survey was completed with the cooperation of the </w:t>
      </w:r>
      <w:r w:rsidR="008D5492">
        <w:t>Code Signatories</w:t>
      </w:r>
      <w:r>
        <w:t xml:space="preserve"> who sent the survey link to suppliers. </w:t>
      </w:r>
      <w:r w:rsidR="00D8707E">
        <w:t>This year</w:t>
      </w:r>
      <w:r w:rsidR="000E7B49">
        <w:t xml:space="preserve">, where possible, the aim was for the signatories to send the survey to the most appropriate contact for each supplier, to ensure that </w:t>
      </w:r>
      <w:r w:rsidR="000F3A7F">
        <w:t xml:space="preserve">one response was provided </w:t>
      </w:r>
      <w:r w:rsidR="000E7B49">
        <w:t xml:space="preserve">per supplier in respect to each of the </w:t>
      </w:r>
      <w:r w:rsidR="008D5492">
        <w:t>Code Signatories</w:t>
      </w:r>
      <w:r w:rsidR="000E7B49">
        <w:t xml:space="preserve">. </w:t>
      </w:r>
    </w:p>
    <w:p w14:paraId="3CBBD6F1" w14:textId="593B00B9" w:rsidR="00633CC6" w:rsidRDefault="00633CC6" w:rsidP="00F96EC9">
      <w:pPr>
        <w:rPr>
          <w:rFonts w:ascii="Times New Roman" w:hAnsi="Times New Roman"/>
        </w:rPr>
      </w:pPr>
      <w:r>
        <w:t>The survey asked for suppliers</w:t>
      </w:r>
      <w:r w:rsidR="003E7DEA">
        <w:t>’</w:t>
      </w:r>
      <w:r>
        <w:t xml:space="preserve"> feedback on the effectiveness of the Code, and how the retailer/wholesaler had conducted themselves throughout the 202</w:t>
      </w:r>
      <w:r w:rsidR="00D44919">
        <w:t>1</w:t>
      </w:r>
      <w:r w:rsidR="00FC6590">
        <w:t>–</w:t>
      </w:r>
      <w:r>
        <w:t>2</w:t>
      </w:r>
      <w:r w:rsidR="00D44919">
        <w:t>2</w:t>
      </w:r>
      <w:r>
        <w:t xml:space="preserve"> reporting period. Questions were on topics such as suppliers</w:t>
      </w:r>
      <w:r w:rsidR="003E7DEA">
        <w:t>’</w:t>
      </w:r>
      <w:r>
        <w:t xml:space="preserve"> dealings with </w:t>
      </w:r>
      <w:r w:rsidR="00F6136A">
        <w:t xml:space="preserve">their </w:t>
      </w:r>
      <w:r>
        <w:t>retailer/wholesaler when an issue arose, the types of issues encountered, and suppliers</w:t>
      </w:r>
      <w:r w:rsidR="003E7DEA">
        <w:t>’</w:t>
      </w:r>
      <w:r>
        <w:t xml:space="preserve"> experiences with internal and external dispute resolution processes.</w:t>
      </w:r>
    </w:p>
    <w:p w14:paraId="5E285EE5" w14:textId="1889DCEC" w:rsidR="00EC1770" w:rsidRDefault="00633CC6" w:rsidP="00EC1770">
      <w:pPr>
        <w:rPr>
          <w:i/>
          <w:iCs/>
          <w:sz w:val="32"/>
          <w:szCs w:val="32"/>
        </w:rPr>
      </w:pPr>
      <w:r>
        <w:t xml:space="preserve">A total of </w:t>
      </w:r>
      <w:r w:rsidR="000D3C9F">
        <w:t xml:space="preserve">407 </w:t>
      </w:r>
      <w:r>
        <w:t xml:space="preserve">suppliers responded to the survey </w:t>
      </w:r>
      <w:r w:rsidR="00E40A04">
        <w:t>– compared to 458 last year</w:t>
      </w:r>
      <w:r w:rsidR="003E7DEA">
        <w:t xml:space="preserve">. </w:t>
      </w:r>
      <w:r w:rsidR="00302F1A">
        <w:t>M</w:t>
      </w:r>
      <w:r>
        <w:t>any suppliers provid</w:t>
      </w:r>
      <w:r w:rsidR="0098523E">
        <w:t>ed</w:t>
      </w:r>
      <w:r>
        <w:t xml:space="preserve"> response</w:t>
      </w:r>
      <w:r w:rsidR="00D44919">
        <w:t>s</w:t>
      </w:r>
      <w:r>
        <w:t xml:space="preserve"> for more than one retailer</w:t>
      </w:r>
      <w:r w:rsidR="00302F1A">
        <w:t>/wholesaler</w:t>
      </w:r>
      <w:r>
        <w:t xml:space="preserve">, taking the total number of </w:t>
      </w:r>
      <w:r w:rsidR="0098523E">
        <w:t xml:space="preserve">unique </w:t>
      </w:r>
      <w:r w:rsidRPr="000D3C9F">
        <w:t xml:space="preserve">responses to </w:t>
      </w:r>
      <w:r w:rsidR="000D3C9F" w:rsidRPr="000D3C9F">
        <w:t>999</w:t>
      </w:r>
      <w:r w:rsidR="00E40A04">
        <w:t xml:space="preserve"> compared to 1,082 last year</w:t>
      </w:r>
      <w:r w:rsidRPr="000D3C9F">
        <w:t>.</w:t>
      </w:r>
      <w:r>
        <w:t xml:space="preserve"> </w:t>
      </w:r>
      <w:r w:rsidR="001F7704">
        <w:t xml:space="preserve">The </w:t>
      </w:r>
      <w:r w:rsidR="008D6DC2">
        <w:t>decrease in the</w:t>
      </w:r>
      <w:r w:rsidR="001F7704">
        <w:t xml:space="preserve"> response rate </w:t>
      </w:r>
      <w:r w:rsidR="008D6DC2">
        <w:t>for this year</w:t>
      </w:r>
      <w:r w:rsidR="003E7DEA">
        <w:t>’</w:t>
      </w:r>
      <w:r w:rsidR="008D6DC2">
        <w:t xml:space="preserve">s survey </w:t>
      </w:r>
      <w:r w:rsidR="001F7704">
        <w:t xml:space="preserve">may be </w:t>
      </w:r>
      <w:r w:rsidR="008D6DC2">
        <w:t xml:space="preserve">explained by changes to the distribution list to reduce the number of supplier contacts in receipt of the survey to one contact per supplier. </w:t>
      </w:r>
      <w:r>
        <w:t xml:space="preserve">Response rates as a proportion of the </w:t>
      </w:r>
      <w:r w:rsidR="008D5492">
        <w:t>Code Signatories</w:t>
      </w:r>
      <w:r w:rsidR="003E7DEA">
        <w:t>’</w:t>
      </w:r>
      <w:r>
        <w:t xml:space="preserve"> </w:t>
      </w:r>
      <w:r w:rsidR="0098523E">
        <w:t xml:space="preserve">supplier </w:t>
      </w:r>
      <w:r>
        <w:t xml:space="preserve">contacts </w:t>
      </w:r>
      <w:r w:rsidR="0098523E">
        <w:t xml:space="preserve">is provided </w:t>
      </w:r>
      <w:r>
        <w:t xml:space="preserve">in Table 2. </w:t>
      </w:r>
    </w:p>
    <w:p w14:paraId="1AF8376E" w14:textId="4D7E7501" w:rsidR="00A0339E" w:rsidRPr="00A0339E" w:rsidRDefault="00146A11" w:rsidP="00302F2E">
      <w:pPr>
        <w:pStyle w:val="TableSecondHeading"/>
      </w:pPr>
      <w:r w:rsidRPr="003D3A6D">
        <w:t xml:space="preserve">Table </w:t>
      </w:r>
      <w:r w:rsidR="00D8707E" w:rsidRPr="003D3A6D">
        <w:t>2</w:t>
      </w:r>
      <w:r w:rsidR="00DD0134" w:rsidRPr="003D3A6D">
        <w:t>.</w:t>
      </w:r>
      <w:r w:rsidRPr="003D3A6D">
        <w:t xml:space="preserve"> Responses as a proportion of </w:t>
      </w:r>
      <w:r w:rsidR="008D5492" w:rsidRPr="003D3A6D">
        <w:t>Code Signatories</w:t>
      </w:r>
      <w:r w:rsidR="003E7DEA">
        <w:t>’</w:t>
      </w:r>
      <w:r w:rsidRPr="003D3A6D">
        <w:t xml:space="preserve"> contacts</w:t>
      </w:r>
    </w:p>
    <w:tbl>
      <w:tblPr>
        <w:tblStyle w:val="TableGridLight"/>
        <w:tblW w:w="5000" w:type="pct"/>
        <w:tblLook w:val="04A0" w:firstRow="1" w:lastRow="0" w:firstColumn="1" w:lastColumn="0" w:noHBand="0" w:noVBand="1"/>
        <w:tblCaption w:val="Table"/>
      </w:tblPr>
      <w:tblGrid>
        <w:gridCol w:w="1129"/>
        <w:gridCol w:w="2127"/>
        <w:gridCol w:w="1842"/>
        <w:gridCol w:w="2033"/>
        <w:gridCol w:w="1931"/>
      </w:tblGrid>
      <w:tr w:rsidR="00146A11" w14:paraId="1C8FB84C" w14:textId="77777777" w:rsidTr="003F12B8">
        <w:tc>
          <w:tcPr>
            <w:tcW w:w="1129" w:type="dxa"/>
            <w:shd w:val="clear" w:color="auto" w:fill="185E7A" w:themeFill="accent2"/>
          </w:tcPr>
          <w:p w14:paraId="2A81B9C7" w14:textId="19D2BD2A" w:rsidR="00146A11" w:rsidRPr="00E72CDE" w:rsidRDefault="00146A11" w:rsidP="00E72CDE">
            <w:pPr>
              <w:pStyle w:val="TableColumnHeadingLeft"/>
              <w:rPr>
                <w:color w:val="FFFFFF" w:themeColor="background1"/>
              </w:rPr>
            </w:pPr>
            <w:r w:rsidRPr="00E72CDE">
              <w:rPr>
                <w:color w:val="FFFFFF" w:themeColor="background1"/>
              </w:rPr>
              <w:t>Signatory</w:t>
            </w:r>
          </w:p>
        </w:tc>
        <w:tc>
          <w:tcPr>
            <w:tcW w:w="2127" w:type="dxa"/>
            <w:shd w:val="clear" w:color="auto" w:fill="185E7A" w:themeFill="accent2"/>
          </w:tcPr>
          <w:p w14:paraId="4DC0C88E" w14:textId="395C1EBA" w:rsidR="00146A11" w:rsidRPr="00E72CDE" w:rsidRDefault="00F8646C" w:rsidP="00E72CDE">
            <w:pPr>
              <w:pStyle w:val="TableColumnHeadingLeft"/>
              <w:rPr>
                <w:color w:val="FFFFFF" w:themeColor="background1"/>
              </w:rPr>
            </w:pPr>
            <w:r w:rsidRPr="00E72CDE">
              <w:rPr>
                <w:color w:val="FFFFFF" w:themeColor="background1"/>
              </w:rPr>
              <w:t>Survey r</w:t>
            </w:r>
            <w:r w:rsidR="00146A11" w:rsidRPr="00E72CDE">
              <w:rPr>
                <w:color w:val="FFFFFF" w:themeColor="background1"/>
              </w:rPr>
              <w:t>esponses per retailer/wholesaler</w:t>
            </w:r>
          </w:p>
        </w:tc>
        <w:tc>
          <w:tcPr>
            <w:tcW w:w="1842" w:type="dxa"/>
            <w:shd w:val="clear" w:color="auto" w:fill="185E7A" w:themeFill="accent2"/>
          </w:tcPr>
          <w:p w14:paraId="77DAD170" w14:textId="0A452C75" w:rsidR="00146A11" w:rsidRPr="00E72CDE" w:rsidRDefault="00EB61F5" w:rsidP="00E72CDE">
            <w:pPr>
              <w:pStyle w:val="TableColumnHeadingLeft"/>
              <w:rPr>
                <w:color w:val="FFFFFF" w:themeColor="background1"/>
              </w:rPr>
            </w:pPr>
            <w:r w:rsidRPr="00E72CDE">
              <w:rPr>
                <w:color w:val="FFFFFF" w:themeColor="background1"/>
              </w:rPr>
              <w:t>Number of s</w:t>
            </w:r>
            <w:r w:rsidR="00146A11" w:rsidRPr="00E72CDE">
              <w:rPr>
                <w:color w:val="FFFFFF" w:themeColor="background1"/>
              </w:rPr>
              <w:t xml:space="preserve">upplier contacts </w:t>
            </w:r>
            <w:r w:rsidRPr="00E72CDE">
              <w:rPr>
                <w:color w:val="FFFFFF" w:themeColor="background1"/>
              </w:rPr>
              <w:t>that were</w:t>
            </w:r>
            <w:r w:rsidR="00146A11" w:rsidRPr="00E72CDE">
              <w:rPr>
                <w:color w:val="FFFFFF" w:themeColor="background1"/>
              </w:rPr>
              <w:t xml:space="preserve"> sent </w:t>
            </w:r>
            <w:r w:rsidR="00F8646C" w:rsidRPr="00E72CDE">
              <w:rPr>
                <w:color w:val="FFFFFF" w:themeColor="background1"/>
              </w:rPr>
              <w:t xml:space="preserve">the </w:t>
            </w:r>
            <w:r w:rsidR="00146A11" w:rsidRPr="00E72CDE">
              <w:rPr>
                <w:color w:val="FFFFFF" w:themeColor="background1"/>
              </w:rPr>
              <w:t>survey</w:t>
            </w:r>
          </w:p>
        </w:tc>
        <w:tc>
          <w:tcPr>
            <w:tcW w:w="2033" w:type="dxa"/>
            <w:shd w:val="clear" w:color="auto" w:fill="185E7A" w:themeFill="accent2"/>
          </w:tcPr>
          <w:p w14:paraId="20A1BE6F" w14:textId="692E3166" w:rsidR="00146A11" w:rsidRPr="00E72CDE" w:rsidRDefault="00F8646C" w:rsidP="00E72CDE">
            <w:pPr>
              <w:pStyle w:val="TableColumnHeadingLeft"/>
              <w:rPr>
                <w:color w:val="FFFFFF" w:themeColor="background1"/>
              </w:rPr>
            </w:pPr>
            <w:r w:rsidRPr="00E72CDE">
              <w:rPr>
                <w:color w:val="FFFFFF" w:themeColor="background1"/>
              </w:rPr>
              <w:t>Survey r</w:t>
            </w:r>
            <w:r w:rsidR="00146A11" w:rsidRPr="00E72CDE">
              <w:rPr>
                <w:color w:val="FFFFFF" w:themeColor="background1"/>
              </w:rPr>
              <w:t>esponses as a proportion of supplier contacts</w:t>
            </w:r>
            <w:r w:rsidRPr="00E72CDE">
              <w:rPr>
                <w:color w:val="FFFFFF" w:themeColor="background1"/>
              </w:rPr>
              <w:t xml:space="preserve"> sent the survey</w:t>
            </w:r>
            <w:r w:rsidR="00146A11" w:rsidRPr="00E72CDE">
              <w:rPr>
                <w:color w:val="FFFFFF" w:themeColor="background1"/>
              </w:rPr>
              <w:t xml:space="preserve"> (%)</w:t>
            </w:r>
          </w:p>
        </w:tc>
        <w:tc>
          <w:tcPr>
            <w:tcW w:w="1931" w:type="dxa"/>
            <w:shd w:val="clear" w:color="auto" w:fill="185E7A" w:themeFill="accent2"/>
          </w:tcPr>
          <w:p w14:paraId="78136ED4" w14:textId="680EBBEB" w:rsidR="00146A11" w:rsidRPr="00E72CDE" w:rsidRDefault="00146A11" w:rsidP="00E72CDE">
            <w:pPr>
              <w:pStyle w:val="TableColumnHeadingLeft"/>
              <w:rPr>
                <w:color w:val="FFFFFF" w:themeColor="background1"/>
              </w:rPr>
            </w:pPr>
            <w:r w:rsidRPr="00E72CDE">
              <w:rPr>
                <w:color w:val="FFFFFF" w:themeColor="background1"/>
              </w:rPr>
              <w:t>Number of suppliers per retailer/wholesaler</w:t>
            </w:r>
          </w:p>
        </w:tc>
      </w:tr>
      <w:tr w:rsidR="00146A11" w14:paraId="61E88AB0" w14:textId="77777777" w:rsidTr="003F12B8">
        <w:tc>
          <w:tcPr>
            <w:tcW w:w="1129" w:type="dxa"/>
          </w:tcPr>
          <w:p w14:paraId="509E0A0F" w14:textId="0B40CB5C" w:rsidR="00146A11" w:rsidRDefault="00146A11" w:rsidP="00DB3BCA">
            <w:pPr>
              <w:pStyle w:val="TableTextLeft"/>
            </w:pPr>
            <w:r>
              <w:t>Woolworths</w:t>
            </w:r>
          </w:p>
        </w:tc>
        <w:tc>
          <w:tcPr>
            <w:tcW w:w="2127" w:type="dxa"/>
          </w:tcPr>
          <w:p w14:paraId="59F4C21B" w14:textId="634F2B7E" w:rsidR="00146A11" w:rsidRDefault="00146A11" w:rsidP="00DB3BCA">
            <w:pPr>
              <w:pStyle w:val="TableTextLeft"/>
            </w:pPr>
            <w:r>
              <w:t>267</w:t>
            </w:r>
          </w:p>
        </w:tc>
        <w:tc>
          <w:tcPr>
            <w:tcW w:w="1842" w:type="dxa"/>
          </w:tcPr>
          <w:p w14:paraId="1DC76BCA" w14:textId="0D8030FB" w:rsidR="00146A11" w:rsidRDefault="00F8646C" w:rsidP="00DB3BCA">
            <w:pPr>
              <w:pStyle w:val="TableTextLeft"/>
            </w:pPr>
            <w:r>
              <w:t>1,654</w:t>
            </w:r>
            <w:r>
              <w:rPr>
                <w:rStyle w:val="FootnoteReference"/>
              </w:rPr>
              <w:footnoteReference w:id="13"/>
            </w:r>
          </w:p>
        </w:tc>
        <w:tc>
          <w:tcPr>
            <w:tcW w:w="2033" w:type="dxa"/>
          </w:tcPr>
          <w:p w14:paraId="067EE008" w14:textId="0A87F34C" w:rsidR="00146A11" w:rsidRDefault="003771C9" w:rsidP="00DB3BCA">
            <w:pPr>
              <w:pStyle w:val="TableTextLeft"/>
            </w:pPr>
            <w:r>
              <w:t>16%</w:t>
            </w:r>
          </w:p>
        </w:tc>
        <w:tc>
          <w:tcPr>
            <w:tcW w:w="1931" w:type="dxa"/>
          </w:tcPr>
          <w:p w14:paraId="4C65367F" w14:textId="6CE24DEE" w:rsidR="00146A11" w:rsidRDefault="00F8646C" w:rsidP="00DB3BCA">
            <w:pPr>
              <w:pStyle w:val="TableTextLeft"/>
            </w:pPr>
            <w:r>
              <w:t>3,200</w:t>
            </w:r>
            <w:r>
              <w:rPr>
                <w:rStyle w:val="FootnoteReference"/>
              </w:rPr>
              <w:footnoteReference w:id="14"/>
            </w:r>
          </w:p>
        </w:tc>
      </w:tr>
      <w:tr w:rsidR="00F8646C" w14:paraId="1901BD7E" w14:textId="77777777" w:rsidTr="003F12B8">
        <w:tc>
          <w:tcPr>
            <w:tcW w:w="1129" w:type="dxa"/>
          </w:tcPr>
          <w:p w14:paraId="311D7900" w14:textId="552388DB" w:rsidR="00F8646C" w:rsidRDefault="00F8646C" w:rsidP="00DB3BCA">
            <w:pPr>
              <w:pStyle w:val="TableTextLeft"/>
            </w:pPr>
            <w:r>
              <w:t>Coles</w:t>
            </w:r>
          </w:p>
        </w:tc>
        <w:tc>
          <w:tcPr>
            <w:tcW w:w="2127" w:type="dxa"/>
          </w:tcPr>
          <w:p w14:paraId="52B7C087" w14:textId="4F5F3399" w:rsidR="00F8646C" w:rsidRDefault="00F8646C" w:rsidP="00DB3BCA">
            <w:pPr>
              <w:pStyle w:val="TableTextLeft"/>
            </w:pPr>
            <w:r>
              <w:t>274</w:t>
            </w:r>
          </w:p>
        </w:tc>
        <w:tc>
          <w:tcPr>
            <w:tcW w:w="1842" w:type="dxa"/>
            <w:vAlign w:val="bottom"/>
          </w:tcPr>
          <w:p w14:paraId="6E61D87A" w14:textId="2DB890A5" w:rsidR="00F8646C" w:rsidRDefault="00F8646C" w:rsidP="00DB3BCA">
            <w:pPr>
              <w:pStyle w:val="TableTextLeft"/>
            </w:pPr>
            <w:r>
              <w:rPr>
                <w:rFonts w:cs="Calibri"/>
                <w:szCs w:val="22"/>
              </w:rPr>
              <w:t>1</w:t>
            </w:r>
            <w:r w:rsidR="00EB2106">
              <w:rPr>
                <w:rFonts w:cs="Calibri"/>
                <w:szCs w:val="22"/>
              </w:rPr>
              <w:t>,</w:t>
            </w:r>
            <w:r>
              <w:rPr>
                <w:rFonts w:cs="Calibri"/>
                <w:szCs w:val="22"/>
              </w:rPr>
              <w:t>811</w:t>
            </w:r>
          </w:p>
        </w:tc>
        <w:tc>
          <w:tcPr>
            <w:tcW w:w="2033" w:type="dxa"/>
            <w:vAlign w:val="bottom"/>
          </w:tcPr>
          <w:p w14:paraId="3ABAAD91" w14:textId="53FA714B" w:rsidR="00F8646C" w:rsidRDefault="00F8646C" w:rsidP="00DB3BCA">
            <w:pPr>
              <w:pStyle w:val="TableTextLeft"/>
            </w:pPr>
            <w:r>
              <w:rPr>
                <w:rFonts w:cs="Calibri"/>
                <w:szCs w:val="22"/>
              </w:rPr>
              <w:t>15%</w:t>
            </w:r>
          </w:p>
        </w:tc>
        <w:tc>
          <w:tcPr>
            <w:tcW w:w="1931" w:type="dxa"/>
            <w:vAlign w:val="bottom"/>
          </w:tcPr>
          <w:p w14:paraId="26A16739" w14:textId="25CFA679" w:rsidR="00F8646C" w:rsidRDefault="00F8646C" w:rsidP="00DB3BCA">
            <w:pPr>
              <w:pStyle w:val="TableTextLeft"/>
            </w:pPr>
            <w:r>
              <w:rPr>
                <w:rFonts w:cs="Calibri"/>
                <w:szCs w:val="22"/>
              </w:rPr>
              <w:t>1</w:t>
            </w:r>
            <w:r w:rsidR="00EB2106">
              <w:rPr>
                <w:rFonts w:cs="Calibri"/>
                <w:szCs w:val="22"/>
              </w:rPr>
              <w:t>,</w:t>
            </w:r>
            <w:r>
              <w:rPr>
                <w:rFonts w:cs="Calibri"/>
                <w:szCs w:val="22"/>
              </w:rPr>
              <w:t>925</w:t>
            </w:r>
          </w:p>
        </w:tc>
      </w:tr>
      <w:tr w:rsidR="00F8646C" w14:paraId="1AD527B2" w14:textId="77777777" w:rsidTr="003F12B8">
        <w:tc>
          <w:tcPr>
            <w:tcW w:w="1129" w:type="dxa"/>
          </w:tcPr>
          <w:p w14:paraId="72CF3EB2" w14:textId="0B2E9706" w:rsidR="00F8646C" w:rsidRDefault="00F8646C" w:rsidP="00DB3BCA">
            <w:pPr>
              <w:pStyle w:val="TableTextLeft"/>
            </w:pPr>
            <w:r>
              <w:t>Metcash</w:t>
            </w:r>
          </w:p>
        </w:tc>
        <w:tc>
          <w:tcPr>
            <w:tcW w:w="2127" w:type="dxa"/>
          </w:tcPr>
          <w:p w14:paraId="13A52E26" w14:textId="06D3A82C" w:rsidR="00F8646C" w:rsidRDefault="00F8646C" w:rsidP="00DB3BCA">
            <w:pPr>
              <w:pStyle w:val="TableTextLeft"/>
            </w:pPr>
            <w:r>
              <w:t>241</w:t>
            </w:r>
          </w:p>
        </w:tc>
        <w:tc>
          <w:tcPr>
            <w:tcW w:w="1842" w:type="dxa"/>
            <w:vAlign w:val="bottom"/>
          </w:tcPr>
          <w:p w14:paraId="42E82878" w14:textId="01E0F5FA" w:rsidR="00F8646C" w:rsidRPr="00DB2F2F" w:rsidRDefault="00D20A47" w:rsidP="00DB3BCA">
            <w:pPr>
              <w:pStyle w:val="TableTextLeft"/>
            </w:pPr>
            <w:r w:rsidRPr="00DB2F2F">
              <w:t>3998</w:t>
            </w:r>
          </w:p>
        </w:tc>
        <w:tc>
          <w:tcPr>
            <w:tcW w:w="2033" w:type="dxa"/>
            <w:vAlign w:val="bottom"/>
          </w:tcPr>
          <w:p w14:paraId="5F655411" w14:textId="2E491891" w:rsidR="00F8646C" w:rsidRPr="00DB2F2F" w:rsidRDefault="00D20A47" w:rsidP="00DB3BCA">
            <w:pPr>
              <w:pStyle w:val="TableTextLeft"/>
            </w:pPr>
            <w:r w:rsidRPr="00DB2F2F">
              <w:t>6%</w:t>
            </w:r>
          </w:p>
        </w:tc>
        <w:tc>
          <w:tcPr>
            <w:tcW w:w="1931" w:type="dxa"/>
            <w:vAlign w:val="bottom"/>
          </w:tcPr>
          <w:p w14:paraId="4D56ED29" w14:textId="4540349D" w:rsidR="00F8646C" w:rsidRPr="00D50A9A" w:rsidRDefault="00D20A47" w:rsidP="00DB3BCA">
            <w:pPr>
              <w:pStyle w:val="TableTextLeft"/>
              <w:rPr>
                <w:highlight w:val="yellow"/>
              </w:rPr>
            </w:pPr>
            <w:r w:rsidRPr="00DB2F2F">
              <w:t>2140</w:t>
            </w:r>
          </w:p>
        </w:tc>
      </w:tr>
      <w:tr w:rsidR="00F8646C" w14:paraId="01795AA8" w14:textId="77777777" w:rsidTr="003F12B8">
        <w:tc>
          <w:tcPr>
            <w:tcW w:w="1129" w:type="dxa"/>
          </w:tcPr>
          <w:p w14:paraId="7E609D6B" w14:textId="669327D1" w:rsidR="00F8646C" w:rsidRDefault="00F8646C" w:rsidP="00DB3BCA">
            <w:pPr>
              <w:pStyle w:val="TableTextLeft"/>
            </w:pPr>
            <w:r>
              <w:t>Aldi</w:t>
            </w:r>
          </w:p>
        </w:tc>
        <w:tc>
          <w:tcPr>
            <w:tcW w:w="2127" w:type="dxa"/>
          </w:tcPr>
          <w:p w14:paraId="5B841631" w14:textId="18485E42" w:rsidR="00F8646C" w:rsidRDefault="00F8646C" w:rsidP="00DB3BCA">
            <w:pPr>
              <w:pStyle w:val="TableTextLeft"/>
            </w:pPr>
            <w:r>
              <w:t>217</w:t>
            </w:r>
          </w:p>
        </w:tc>
        <w:tc>
          <w:tcPr>
            <w:tcW w:w="1842" w:type="dxa"/>
            <w:vAlign w:val="bottom"/>
          </w:tcPr>
          <w:p w14:paraId="75544D9C" w14:textId="479EDCE0" w:rsidR="00F8646C" w:rsidRDefault="00F8646C" w:rsidP="00DB3BCA">
            <w:pPr>
              <w:pStyle w:val="TableTextLeft"/>
            </w:pPr>
            <w:r>
              <w:rPr>
                <w:rFonts w:cs="Calibri"/>
                <w:szCs w:val="22"/>
              </w:rPr>
              <w:t>1</w:t>
            </w:r>
            <w:r w:rsidR="00EB2106">
              <w:rPr>
                <w:rFonts w:cs="Calibri"/>
                <w:szCs w:val="22"/>
              </w:rPr>
              <w:t>,</w:t>
            </w:r>
            <w:r>
              <w:rPr>
                <w:rFonts w:cs="Calibri"/>
                <w:szCs w:val="22"/>
              </w:rPr>
              <w:t>440</w:t>
            </w:r>
          </w:p>
        </w:tc>
        <w:tc>
          <w:tcPr>
            <w:tcW w:w="2033" w:type="dxa"/>
            <w:vAlign w:val="bottom"/>
          </w:tcPr>
          <w:p w14:paraId="3E324485" w14:textId="339EC7C1" w:rsidR="00F8646C" w:rsidRDefault="00F8646C" w:rsidP="00DB3BCA">
            <w:pPr>
              <w:pStyle w:val="TableTextLeft"/>
            </w:pPr>
            <w:r>
              <w:rPr>
                <w:rFonts w:cs="Calibri"/>
                <w:szCs w:val="22"/>
              </w:rPr>
              <w:t>15%</w:t>
            </w:r>
          </w:p>
        </w:tc>
        <w:tc>
          <w:tcPr>
            <w:tcW w:w="1931" w:type="dxa"/>
            <w:vAlign w:val="bottom"/>
          </w:tcPr>
          <w:p w14:paraId="297B7D0E" w14:textId="1514701D" w:rsidR="00F8646C" w:rsidRDefault="00F8646C" w:rsidP="00DB3BCA">
            <w:pPr>
              <w:pStyle w:val="TableTextLeft"/>
            </w:pPr>
            <w:r>
              <w:rPr>
                <w:rFonts w:cs="Calibri"/>
                <w:szCs w:val="22"/>
              </w:rPr>
              <w:t>1</w:t>
            </w:r>
            <w:r w:rsidR="00EB2106">
              <w:rPr>
                <w:rFonts w:cs="Calibri"/>
                <w:szCs w:val="22"/>
              </w:rPr>
              <w:t>,</w:t>
            </w:r>
            <w:r>
              <w:rPr>
                <w:rFonts w:cs="Calibri"/>
                <w:szCs w:val="22"/>
              </w:rPr>
              <w:t>675</w:t>
            </w:r>
          </w:p>
        </w:tc>
      </w:tr>
    </w:tbl>
    <w:p w14:paraId="3CE39E91" w14:textId="470E274A" w:rsidR="00BF5A1C" w:rsidRPr="005E0F36" w:rsidRDefault="00BF5A1C" w:rsidP="005E0F36">
      <w:pPr>
        <w:pStyle w:val="Heading3"/>
      </w:pPr>
      <w:bookmarkStart w:id="24" w:name="_Toc121996069"/>
      <w:r w:rsidRPr="005E0F36">
        <w:lastRenderedPageBreak/>
        <w:t>Characteristics of respondents</w:t>
      </w:r>
      <w:bookmarkEnd w:id="24"/>
    </w:p>
    <w:p w14:paraId="0502464D" w14:textId="7D733E0A" w:rsidR="0096366B" w:rsidRDefault="00332A35" w:rsidP="00332A35">
      <w:r>
        <w:t>Responses were received from suppliers that had a turnover below $1</w:t>
      </w:r>
      <w:r w:rsidR="006B67AA">
        <w:t> </w:t>
      </w:r>
      <w:r>
        <w:t>million, all the way up to suppliers with a turnover over $1</w:t>
      </w:r>
      <w:r w:rsidR="006B67AA">
        <w:t> </w:t>
      </w:r>
      <w:r>
        <w:t>billion. The largest proportion of respondents indicated their turnover was between $10</w:t>
      </w:r>
      <w:r w:rsidR="006B67AA">
        <w:t> </w:t>
      </w:r>
      <w:r>
        <w:t>million and $50</w:t>
      </w:r>
      <w:r w:rsidR="006B67AA">
        <w:t> </w:t>
      </w:r>
      <w:r>
        <w:t>million.</w:t>
      </w:r>
    </w:p>
    <w:p w14:paraId="05E80AC9" w14:textId="04E0DA58" w:rsidR="00812640" w:rsidRDefault="00790736" w:rsidP="00812640">
      <w:r>
        <w:t>Respondents were also asked which product/s they supply</w:t>
      </w:r>
      <w:r w:rsidR="00FF6C54">
        <w:t>,</w:t>
      </w:r>
      <w:r>
        <w:t xml:space="preserve"> with many</w:t>
      </w:r>
      <w:r w:rsidR="00CB38EB">
        <w:t xml:space="preserve"> respondents report</w:t>
      </w:r>
      <w:r>
        <w:t>ing</w:t>
      </w:r>
      <w:r w:rsidR="00CB38EB">
        <w:t xml:space="preserve"> more than one product type</w:t>
      </w:r>
      <w:r w:rsidR="00CB38EB" w:rsidDel="007813C8">
        <w:t xml:space="preserve"> </w:t>
      </w:r>
      <w:r w:rsidR="00CB38EB">
        <w:t>suppl</w:t>
      </w:r>
      <w:r w:rsidR="007813C8">
        <w:t>ied</w:t>
      </w:r>
      <w:r w:rsidR="00CB38EB">
        <w:t xml:space="preserve">. </w:t>
      </w:r>
      <w:r w:rsidR="00E57CE3">
        <w:t>As seen in Figure 2, a</w:t>
      </w:r>
      <w:r w:rsidR="00CB38EB">
        <w:t xml:space="preserve"> large proportion of respondents supplied</w:t>
      </w:r>
      <w:r w:rsidR="00E57CE3">
        <w:t xml:space="preserve"> a</w:t>
      </w:r>
      <w:r w:rsidR="00CB38EB">
        <w:t>mbient (e.g. shelf</w:t>
      </w:r>
      <w:r w:rsidR="003E7DEA">
        <w:noBreakHyphen/>
      </w:r>
      <w:r w:rsidR="00CB38EB">
        <w:t xml:space="preserve">stable foods) or </w:t>
      </w:r>
      <w:r w:rsidR="00E57CE3">
        <w:t>c</w:t>
      </w:r>
      <w:r w:rsidR="00CB38EB">
        <w:t>hilled product</w:t>
      </w:r>
      <w:r w:rsidR="00927C9A">
        <w:t>s</w:t>
      </w:r>
      <w:r w:rsidR="00FF6C54">
        <w:t>,</w:t>
      </w:r>
      <w:r w:rsidR="00CB38EB">
        <w:t xml:space="preserve"> while </w:t>
      </w:r>
      <w:r w:rsidR="00E57CE3">
        <w:t>p</w:t>
      </w:r>
      <w:r w:rsidR="00CB38EB">
        <w:t>harmaceutical suppliers made up the lowest proportion of responses.</w:t>
      </w:r>
      <w:r w:rsidR="00E57CE3">
        <w:t xml:space="preserve"> </w:t>
      </w:r>
      <w:r w:rsidR="007813C8">
        <w:t>The make</w:t>
      </w:r>
      <w:r w:rsidR="003E7DEA">
        <w:noBreakHyphen/>
      </w:r>
      <w:r w:rsidR="007813C8">
        <w:t>up of respondents for the 2021</w:t>
      </w:r>
      <w:r w:rsidR="00FC6590">
        <w:t>–</w:t>
      </w:r>
      <w:r w:rsidR="007813C8">
        <w:t xml:space="preserve">22 survey is consistent </w:t>
      </w:r>
      <w:r w:rsidR="004B330B">
        <w:t>with th</w:t>
      </w:r>
      <w:r w:rsidR="00C40CE8">
        <w:t>e 2020</w:t>
      </w:r>
      <w:r w:rsidR="00FC6590">
        <w:t>–</w:t>
      </w:r>
      <w:r w:rsidR="00C40CE8">
        <w:t>21 survey.</w:t>
      </w:r>
      <w:r w:rsidR="00E57CE3">
        <w:t xml:space="preserve"> </w:t>
      </w:r>
    </w:p>
    <w:p w14:paraId="544C43E0" w14:textId="65D3B588" w:rsidR="00EC1770" w:rsidRPr="00DB3BCA" w:rsidDel="00EC1770" w:rsidRDefault="00DB3BCA" w:rsidP="00812640">
      <w:pPr>
        <w:pStyle w:val="TableSecondHeading"/>
      </w:pPr>
      <w:r w:rsidRPr="00DB3BCA">
        <w:t>Figure 2. Food and groceries supplier by respondents</w:t>
      </w:r>
    </w:p>
    <w:p w14:paraId="57D8DD31" w14:textId="0886BBC9" w:rsidR="00CB38EB" w:rsidRDefault="00E57CE3" w:rsidP="00CB38EB">
      <w:r>
        <w:rPr>
          <w:noProof/>
        </w:rPr>
        <w:drawing>
          <wp:inline distT="0" distB="0" distL="0" distR="0" wp14:anchorId="33DECACA" wp14:editId="33B3A0FA">
            <wp:extent cx="5760720" cy="3232150"/>
            <wp:effectExtent l="0" t="0" r="0" b="6350"/>
            <wp:docPr id="14" name="Chart 14" descr="Suppliers were asked to identify whether each retailer/wholesaler they supplied always or mostly treated them fairly, sometimes acts unreasonably, or frequently acts unreasonably or with duress.">
              <a:extLst xmlns:a="http://schemas.openxmlformats.org/drawingml/2006/main">
                <a:ext uri="{FF2B5EF4-FFF2-40B4-BE49-F238E27FC236}">
                  <a16:creationId xmlns:a16="http://schemas.microsoft.com/office/drawing/2014/main" id="{1CC25726-0A90-445E-BC5D-C07169FD7B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21E6FA" w14:textId="32C2600C" w:rsidR="00126B67" w:rsidRPr="005E0F36" w:rsidRDefault="00126B67" w:rsidP="00302F2E">
      <w:pPr>
        <w:pStyle w:val="Heading2"/>
      </w:pPr>
      <w:bookmarkStart w:id="25" w:name="_Toc121996070"/>
      <w:r w:rsidRPr="005E0F36">
        <w:lastRenderedPageBreak/>
        <w:t>Key findings</w:t>
      </w:r>
      <w:r w:rsidR="00AA22A0" w:rsidRPr="005E0F36">
        <w:t xml:space="preserve"> from the survey of suppliers</w:t>
      </w:r>
      <w:bookmarkEnd w:id="25"/>
    </w:p>
    <w:p w14:paraId="21729937" w14:textId="476B7243" w:rsidR="00FE3484" w:rsidRDefault="00CE66FD" w:rsidP="00302F2E">
      <w:pPr>
        <w:pStyle w:val="Heading3"/>
      </w:pPr>
      <w:bookmarkStart w:id="26" w:name="_Toc121996071"/>
      <w:r w:rsidRPr="003D3A6D">
        <w:t>Fair dealings with retailers and wholesaler</w:t>
      </w:r>
      <w:bookmarkEnd w:id="26"/>
    </w:p>
    <w:p w14:paraId="7274013A" w14:textId="7F96F0DF" w:rsidR="00292DA5" w:rsidRPr="00EE6F90" w:rsidRDefault="00DB3BCA" w:rsidP="00EE6F90">
      <w:pPr>
        <w:pStyle w:val="ChartMainHeading"/>
      </w:pPr>
      <w:r w:rsidRPr="00EE6F90">
        <w:t>Figure 3. Fair and reasonable dealings of retailer/wholesaler towards suppliers</w:t>
      </w:r>
    </w:p>
    <w:p w14:paraId="319C5258" w14:textId="7D38F0C8" w:rsidR="00FE3484" w:rsidRDefault="00FE3484" w:rsidP="00307607">
      <w:bookmarkStart w:id="27" w:name="_Toc121749992"/>
      <w:bookmarkStart w:id="28" w:name="_Toc121750522"/>
      <w:r w:rsidRPr="00DB3BCA">
        <w:rPr>
          <w:noProof/>
        </w:rPr>
        <w:drawing>
          <wp:inline distT="0" distB="0" distL="0" distR="0" wp14:anchorId="0C7A36A6" wp14:editId="65DA85B3">
            <wp:extent cx="5760720" cy="3326130"/>
            <wp:effectExtent l="0" t="0" r="0" b="7620"/>
            <wp:docPr id="18" name="Chart 18" descr="Suppliers were asked to identify whether each retailer/wholesaler they supplied always or mostly treated them fairly, sometimes acts unreasonably, or frequently acts unreasonably or with duress.">
              <a:extLst xmlns:a="http://schemas.openxmlformats.org/drawingml/2006/main">
                <a:ext uri="{FF2B5EF4-FFF2-40B4-BE49-F238E27FC236}">
                  <a16:creationId xmlns:a16="http://schemas.microsoft.com/office/drawing/2014/main" id="{3D56649F-352D-4BED-934E-E1295FC54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End w:id="27"/>
      <w:bookmarkEnd w:id="28"/>
    </w:p>
    <w:p w14:paraId="216AD54B" w14:textId="77777777" w:rsidR="003771C9" w:rsidRPr="00821923" w:rsidRDefault="003771C9" w:rsidP="003771C9">
      <w:r>
        <w:t>Overall responses to the question indicate that most suppliers have fair dealings with their retailer/wholesaler:</w:t>
      </w:r>
    </w:p>
    <w:p w14:paraId="1A8561AF" w14:textId="77777777" w:rsidR="003771C9" w:rsidRPr="00EF343A" w:rsidRDefault="003771C9" w:rsidP="00EF343A">
      <w:pPr>
        <w:pStyle w:val="Bullet"/>
        <w:numPr>
          <w:ilvl w:val="0"/>
          <w:numId w:val="37"/>
        </w:numPr>
      </w:pPr>
      <w:r w:rsidRPr="00EF343A">
        <w:t xml:space="preserve">50 per cent indicated that they were always treated fairly and respectfully by their retailer/wholesaler. </w:t>
      </w:r>
    </w:p>
    <w:p w14:paraId="0A013C56" w14:textId="77777777" w:rsidR="003771C9" w:rsidRPr="00EF343A" w:rsidRDefault="003771C9" w:rsidP="00EF343A">
      <w:pPr>
        <w:pStyle w:val="Bullet"/>
        <w:numPr>
          <w:ilvl w:val="0"/>
          <w:numId w:val="37"/>
        </w:numPr>
      </w:pPr>
      <w:r w:rsidRPr="00EF343A">
        <w:t>38 per cent identified that their retailer/wholesaler mostly treated them fairly and respectfully.</w:t>
      </w:r>
    </w:p>
    <w:p w14:paraId="6C7466D6" w14:textId="77777777" w:rsidR="003771C9" w:rsidRPr="00EF343A" w:rsidRDefault="003771C9" w:rsidP="00EF343A">
      <w:pPr>
        <w:pStyle w:val="Bullet"/>
        <w:numPr>
          <w:ilvl w:val="0"/>
          <w:numId w:val="37"/>
        </w:numPr>
      </w:pPr>
      <w:r w:rsidRPr="00EF343A">
        <w:t>9 per cent identified that their retailer/wholesaler acted unreasonably at times.</w:t>
      </w:r>
    </w:p>
    <w:p w14:paraId="4D56084B" w14:textId="7DF856FF" w:rsidR="007517F4" w:rsidRPr="00EF343A" w:rsidRDefault="003771C9" w:rsidP="00EF343A">
      <w:pPr>
        <w:pStyle w:val="Bullet"/>
        <w:numPr>
          <w:ilvl w:val="0"/>
          <w:numId w:val="37"/>
        </w:numPr>
      </w:pPr>
      <w:r w:rsidRPr="00EF343A">
        <w:t xml:space="preserve">2 per cent identified that their retailer/wholesaler frequently acts unreasonable or with duress. </w:t>
      </w:r>
    </w:p>
    <w:p w14:paraId="783CBADC" w14:textId="30E9551C" w:rsidR="00FC01D3" w:rsidRDefault="003C1F05" w:rsidP="003771C9">
      <w:r>
        <w:t xml:space="preserve">For Woolworths, </w:t>
      </w:r>
      <w:r w:rsidR="008C71E5">
        <w:t xml:space="preserve">a higher proportion of suppliers indicated that they were </w:t>
      </w:r>
      <w:r>
        <w:t xml:space="preserve">mostly </w:t>
      </w:r>
      <w:r w:rsidR="008C71E5">
        <w:t xml:space="preserve">treated fairly and respectfully rather than always treated </w:t>
      </w:r>
      <w:r>
        <w:t xml:space="preserve">fairly and respectfully. </w:t>
      </w:r>
      <w:r w:rsidR="00FC01D3">
        <w:t xml:space="preserve">For all other </w:t>
      </w:r>
      <w:r w:rsidR="00FC01D3" w:rsidDel="008D5492">
        <w:t xml:space="preserve">Code </w:t>
      </w:r>
      <w:r w:rsidR="008D5492">
        <w:t>Signatories</w:t>
      </w:r>
      <w:r w:rsidR="00FC01D3">
        <w:t xml:space="preserve">, </w:t>
      </w:r>
      <w:r w:rsidR="003E7DEA">
        <w:t>“</w:t>
      </w:r>
      <w:r w:rsidR="00FC01D3">
        <w:t>always treats me fairly and respectfully</w:t>
      </w:r>
      <w:r w:rsidR="003E7DEA">
        <w:t>”</w:t>
      </w:r>
      <w:r w:rsidR="00FC01D3">
        <w:t xml:space="preserve"> received the highest number of responses</w:t>
      </w:r>
      <w:r w:rsidR="00FF6C54">
        <w:t>.</w:t>
      </w:r>
    </w:p>
    <w:p w14:paraId="2F7EA50B" w14:textId="5DE2A944" w:rsidR="00FE5136" w:rsidRDefault="00FC01D3" w:rsidP="00FE5136">
      <w:r>
        <w:t>Like last year</w:t>
      </w:r>
      <w:r w:rsidR="003E7DEA">
        <w:t>’</w:t>
      </w:r>
      <w:r w:rsidR="004012CE">
        <w:t>s results</w:t>
      </w:r>
      <w:r>
        <w:t xml:space="preserve">, </w:t>
      </w:r>
      <w:r w:rsidR="00C52E84">
        <w:t xml:space="preserve">Aldi had the highest proportion of its suppliers indicate that they were always treated fairly and respectfully. </w:t>
      </w:r>
      <w:r w:rsidR="00FE5136">
        <w:t>Figure 4 shows</w:t>
      </w:r>
      <w:r w:rsidR="00FE5136" w:rsidRPr="00FE5136">
        <w:t xml:space="preserve"> </w:t>
      </w:r>
      <w:r w:rsidR="00FE5136">
        <w:t xml:space="preserve">the proportion of suppliers indicating they are always treated fairly and respectfully by the </w:t>
      </w:r>
      <w:r w:rsidR="00FE5136" w:rsidDel="008D5492">
        <w:t>Code Signatories</w:t>
      </w:r>
      <w:r w:rsidR="00FE5136">
        <w:t xml:space="preserve"> has increased compared to last year. </w:t>
      </w:r>
    </w:p>
    <w:p w14:paraId="1E153ADB" w14:textId="48BFB08C" w:rsidR="00885CAF" w:rsidRPr="001F2F93" w:rsidRDefault="001F2F93" w:rsidP="00302F2E">
      <w:pPr>
        <w:pStyle w:val="TableSecondHeading"/>
      </w:pPr>
      <w:r w:rsidRPr="001F2F93">
        <w:lastRenderedPageBreak/>
        <w:t>Figure 4. Industry</w:t>
      </w:r>
      <w:r w:rsidR="003E7DEA">
        <w:noBreakHyphen/>
      </w:r>
      <w:r w:rsidRPr="001F2F93">
        <w:t xml:space="preserve">wide results for fair and reasonable dealings in 2020–21 and 2021–22 </w:t>
      </w:r>
    </w:p>
    <w:p w14:paraId="649C7E4B" w14:textId="3F6373D9" w:rsidR="00A275E3" w:rsidRDefault="00BA5AC5" w:rsidP="003E2FA8">
      <w:r>
        <w:rPr>
          <w:noProof/>
        </w:rPr>
        <w:drawing>
          <wp:inline distT="0" distB="0" distL="0" distR="0" wp14:anchorId="45C8ACFB" wp14:editId="68DE99FA">
            <wp:extent cx="5760720" cy="3039110"/>
            <wp:effectExtent l="0" t="0" r="0" b="8890"/>
            <wp:docPr id="9" name="Chart 9" descr="Year to year comparison of fair and reasonable dealings. Responses last year were positive, with this year’s results show a further improvement in retailer/wholesaler dealings with suppliers.">
              <a:extLst xmlns:a="http://schemas.openxmlformats.org/drawingml/2006/main">
                <a:ext uri="{FF2B5EF4-FFF2-40B4-BE49-F238E27FC236}">
                  <a16:creationId xmlns:a16="http://schemas.microsoft.com/office/drawing/2014/main" id="{253C18B2-5896-45CF-8CE1-FE83E1C4F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43EE69C" w14:textId="03939541" w:rsidR="00CE66FD" w:rsidRDefault="00CE66FD" w:rsidP="001F2F93">
      <w:pPr>
        <w:pStyle w:val="Heading3"/>
      </w:pPr>
      <w:bookmarkStart w:id="29" w:name="_Toc121996072"/>
      <w:r>
        <w:t>Supplier issues resolved promptly</w:t>
      </w:r>
      <w:bookmarkEnd w:id="29"/>
      <w:r>
        <w:t xml:space="preserve"> </w:t>
      </w:r>
    </w:p>
    <w:p w14:paraId="4FD18FA7" w14:textId="6A482DBC" w:rsidR="001F2F93" w:rsidRPr="001F2F93" w:rsidRDefault="001F2F93" w:rsidP="00302F2E">
      <w:pPr>
        <w:pStyle w:val="TableSecondHeading"/>
      </w:pPr>
      <w:r w:rsidRPr="001F2F93">
        <w:t>Figure 5. Prompt, constructive action taken by the retailer/wholesaler to resolve issues raised</w:t>
      </w:r>
    </w:p>
    <w:p w14:paraId="7D6BDBDC" w14:textId="238B2524" w:rsidR="0029169C" w:rsidRPr="0029169C" w:rsidRDefault="0029169C" w:rsidP="0029169C">
      <w:r>
        <w:rPr>
          <w:noProof/>
        </w:rPr>
        <w:drawing>
          <wp:inline distT="0" distB="0" distL="0" distR="0" wp14:anchorId="2C1C9C70" wp14:editId="004C8689">
            <wp:extent cx="5760720" cy="3335020"/>
            <wp:effectExtent l="0" t="0" r="0" b="0"/>
            <wp:docPr id="20" name="Chart 20" descr="Suppliers were asked to identify how often the retailer/wholesaler they supplied took prompt, constructive action to resolve issues when they were raised.">
              <a:extLst xmlns:a="http://schemas.openxmlformats.org/drawingml/2006/main">
                <a:ext uri="{FF2B5EF4-FFF2-40B4-BE49-F238E27FC236}">
                  <a16:creationId xmlns:a16="http://schemas.microsoft.com/office/drawing/2014/main" id="{CA7F260C-E8B1-4FDB-9672-FD86AA8165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267250" w14:textId="53EB597B" w:rsidR="00CE66FD" w:rsidRDefault="00B457B5" w:rsidP="00B457B5">
      <w:r>
        <w:t xml:space="preserve">Suppliers that responded to the question on whether their retailer/wholesaler takes prompt, constructive action to resolve issues raised, reported that Aldi was the retailer most likely to take action with </w:t>
      </w:r>
      <w:r w:rsidR="006805BE">
        <w:t>90</w:t>
      </w:r>
      <w:r>
        <w:t xml:space="preserve"> per cent of Aldi respondents </w:t>
      </w:r>
      <w:r w:rsidR="003D4E1D">
        <w:t xml:space="preserve">indicating </w:t>
      </w:r>
      <w:r>
        <w:t xml:space="preserve">it always or usually took action to resolve issues. Between </w:t>
      </w:r>
      <w:r w:rsidR="00FF71E7">
        <w:t>75 and 84</w:t>
      </w:r>
      <w:r>
        <w:t xml:space="preserve"> per cent of suppliers to Woolworths, Coles</w:t>
      </w:r>
      <w:r w:rsidR="00FF71E7">
        <w:t>,</w:t>
      </w:r>
      <w:r>
        <w:t xml:space="preserve"> and Metcash who </w:t>
      </w:r>
      <w:r w:rsidR="00FF71E7">
        <w:t xml:space="preserve">answered the question </w:t>
      </w:r>
      <w:r>
        <w:t>reported the same.</w:t>
      </w:r>
      <w:r w:rsidR="00ED32D3">
        <w:t xml:space="preserve"> This represents a substantial improvement across all </w:t>
      </w:r>
      <w:r w:rsidR="006805BE">
        <w:t>Code Signatories</w:t>
      </w:r>
      <w:r w:rsidR="00ED32D3">
        <w:t>, with the most significant improvement by Metcash from 8</w:t>
      </w:r>
      <w:r w:rsidR="00082D5B">
        <w:t>3</w:t>
      </w:r>
      <w:r w:rsidR="00ED32D3">
        <w:t xml:space="preserve"> per cent of Metcash suppliers indicating that Metcash always or usually took prompt, constructive action to resolve issues, compared to 66 per cent last year.</w:t>
      </w:r>
    </w:p>
    <w:p w14:paraId="7D1A2F3C" w14:textId="7F1E802E" w:rsidR="00CE66FD" w:rsidRPr="00CE66FD" w:rsidRDefault="00CE66FD" w:rsidP="003D3A6D">
      <w:pPr>
        <w:pStyle w:val="Heading3"/>
      </w:pPr>
      <w:bookmarkStart w:id="30" w:name="_Toc121996073"/>
      <w:r>
        <w:lastRenderedPageBreak/>
        <w:t>Conduct experienced from the retailers and wholesaler</w:t>
      </w:r>
      <w:bookmarkEnd w:id="30"/>
    </w:p>
    <w:p w14:paraId="2AF933B3" w14:textId="165E28E8" w:rsidR="00764B7C" w:rsidRDefault="00162781" w:rsidP="00162781">
      <w:r>
        <w:t>Suppliers were asked to identify any issues with their retailer</w:t>
      </w:r>
      <w:r w:rsidR="0066454A">
        <w:t>s</w:t>
      </w:r>
      <w:r>
        <w:t xml:space="preserve">/wholesaler, covered by the Code, that they </w:t>
      </w:r>
      <w:r w:rsidR="00927C9A">
        <w:t xml:space="preserve">faced </w:t>
      </w:r>
      <w:r>
        <w:t>during the 2021</w:t>
      </w:r>
      <w:r w:rsidR="00FC6590">
        <w:t>–</w:t>
      </w:r>
      <w:r>
        <w:t xml:space="preserve">22 reporting period. Figure 6 shows </w:t>
      </w:r>
      <w:r w:rsidR="0066454A">
        <w:t xml:space="preserve">supplier </w:t>
      </w:r>
      <w:r>
        <w:t xml:space="preserve">responses </w:t>
      </w:r>
      <w:r w:rsidR="0066454A">
        <w:t xml:space="preserve">in relation to </w:t>
      </w:r>
      <w:r>
        <w:t>each issue.</w:t>
      </w:r>
    </w:p>
    <w:p w14:paraId="6DE7B789" w14:textId="0552DB2B" w:rsidR="00F2465F" w:rsidRDefault="00780082" w:rsidP="00D16A08">
      <w:r>
        <w:t>L</w:t>
      </w:r>
      <w:r w:rsidR="003342E1">
        <w:t>ast year</w:t>
      </w:r>
      <w:r w:rsidR="003E7DEA">
        <w:t>’</w:t>
      </w:r>
      <w:r w:rsidR="003342E1">
        <w:t>s survey did</w:t>
      </w:r>
      <w:r>
        <w:t xml:space="preserve"> not</w:t>
      </w:r>
      <w:r w:rsidR="003342E1">
        <w:t xml:space="preserve"> require suppliers to respond to this question if they did not experience any of the listed issues, it also did not provide a specific option </w:t>
      </w:r>
      <w:r w:rsidR="003E5DF9">
        <w:t xml:space="preserve">for suppliers </w:t>
      </w:r>
      <w:r w:rsidR="003342E1">
        <w:t>to identify that no</w:t>
      </w:r>
      <w:r w:rsidR="003E5DF9">
        <w:t>ne of the</w:t>
      </w:r>
      <w:r w:rsidR="003342E1">
        <w:t xml:space="preserve"> issues were experienced. </w:t>
      </w:r>
      <w:r w:rsidR="00F2465F">
        <w:t>S</w:t>
      </w:r>
      <w:r w:rsidR="009D5052">
        <w:t>uppliers</w:t>
      </w:r>
      <w:r w:rsidR="003342E1">
        <w:t xml:space="preserve"> were provided this option</w:t>
      </w:r>
      <w:r w:rsidR="00F2465F">
        <w:t xml:space="preserve"> in the 2021</w:t>
      </w:r>
      <w:r w:rsidR="00FC6590">
        <w:t>–</w:t>
      </w:r>
      <w:r w:rsidR="00F2465F">
        <w:t>22 survey</w:t>
      </w:r>
      <w:r w:rsidR="009D5052">
        <w:t xml:space="preserve">. </w:t>
      </w:r>
    </w:p>
    <w:p w14:paraId="653B65D1" w14:textId="656DA1D7" w:rsidR="009D5052" w:rsidRDefault="00301F8F" w:rsidP="00D16A08">
      <w:r>
        <w:t xml:space="preserve">The majority of respondents to the survey identified that no issues were experienced with the retailer/wholesaler they supplied – </w:t>
      </w:r>
      <w:r w:rsidR="009D5052">
        <w:t>60</w:t>
      </w:r>
      <w:r>
        <w:t xml:space="preserve"> </w:t>
      </w:r>
      <w:r w:rsidR="009D5052">
        <w:t xml:space="preserve">per cent </w:t>
      </w:r>
      <w:r>
        <w:t>of</w:t>
      </w:r>
      <w:r w:rsidR="009D5052">
        <w:t xml:space="preserve"> Woolworths</w:t>
      </w:r>
      <w:r w:rsidR="003E7DEA">
        <w:t>’</w:t>
      </w:r>
      <w:r>
        <w:t xml:space="preserve"> suppliers</w:t>
      </w:r>
      <w:r w:rsidR="00D16A08">
        <w:t xml:space="preserve">; </w:t>
      </w:r>
      <w:r w:rsidR="009D5052">
        <w:t>65 per cent</w:t>
      </w:r>
      <w:r w:rsidR="009D5052" w:rsidDel="00301F8F">
        <w:t xml:space="preserve"> </w:t>
      </w:r>
      <w:r>
        <w:t>of</w:t>
      </w:r>
      <w:r w:rsidR="009D5052">
        <w:t xml:space="preserve"> Coles</w:t>
      </w:r>
      <w:r w:rsidR="003E7DEA">
        <w:t>’</w:t>
      </w:r>
      <w:r>
        <w:t xml:space="preserve"> suppliers</w:t>
      </w:r>
      <w:r w:rsidR="00D16A08">
        <w:t xml:space="preserve">; </w:t>
      </w:r>
      <w:r w:rsidR="009D5052">
        <w:t xml:space="preserve">71 per cent </w:t>
      </w:r>
      <w:r>
        <w:t>of</w:t>
      </w:r>
      <w:r w:rsidR="009D5052">
        <w:t xml:space="preserve"> Metcash</w:t>
      </w:r>
      <w:r w:rsidR="003E7DEA">
        <w:t>’</w:t>
      </w:r>
      <w:r>
        <w:t>s suppliers</w:t>
      </w:r>
      <w:r w:rsidR="00D16A08">
        <w:t>;</w:t>
      </w:r>
      <w:r w:rsidR="009D5052">
        <w:t xml:space="preserve"> and 74 per cent </w:t>
      </w:r>
      <w:r>
        <w:t>of</w:t>
      </w:r>
      <w:r w:rsidR="009D5052">
        <w:t xml:space="preserve"> Aldi</w:t>
      </w:r>
      <w:r w:rsidR="003E7DEA">
        <w:t>’</w:t>
      </w:r>
      <w:r w:rsidR="008708CD">
        <w:t>s</w:t>
      </w:r>
      <w:r>
        <w:t xml:space="preserve"> suppliers indicated they had experienced no issues with that retailer/wholesaler</w:t>
      </w:r>
      <w:r w:rsidR="009D5052">
        <w:t xml:space="preserve">. </w:t>
      </w:r>
    </w:p>
    <w:p w14:paraId="0B05D6FD" w14:textId="48AED736" w:rsidR="005D778C" w:rsidRDefault="00F821B0" w:rsidP="00656963">
      <w:r>
        <w:t xml:space="preserve">Of the suppliers that chose to select from </w:t>
      </w:r>
      <w:r w:rsidR="009133EF">
        <w:t>one or more of 20 issues</w:t>
      </w:r>
      <w:r w:rsidR="005D778C">
        <w:t>,</w:t>
      </w:r>
      <w:r w:rsidR="009133EF">
        <w:t xml:space="preserve"> </w:t>
      </w:r>
      <w:r w:rsidR="005D778C">
        <w:t>suppliers identified the most common issues experienced were payments later than the agreed payment terms and deductions off invoice or remittance without consent.</w:t>
      </w:r>
    </w:p>
    <w:p w14:paraId="06AD32B6" w14:textId="606504C9" w:rsidR="00F2465F" w:rsidRDefault="005D778C" w:rsidP="00656963">
      <w:r>
        <w:t>A</w:t>
      </w:r>
      <w:r w:rsidR="00F821B0">
        <w:t xml:space="preserve"> </w:t>
      </w:r>
      <w:r w:rsidR="00FA1656">
        <w:t>higher</w:t>
      </w:r>
      <w:r w:rsidR="009E3FFC">
        <w:t xml:space="preserve"> proportion of Woolworths suppliers reported issues</w:t>
      </w:r>
      <w:r w:rsidR="00F2465F">
        <w:t xml:space="preserve"> across the categories</w:t>
      </w:r>
      <w:r w:rsidR="009E3FFC">
        <w:t xml:space="preserve"> compared to the other</w:t>
      </w:r>
      <w:r w:rsidR="009E3FFC" w:rsidDel="00F821B0">
        <w:t xml:space="preserve"> </w:t>
      </w:r>
      <w:r w:rsidR="009E3FFC" w:rsidDel="008D5492">
        <w:t xml:space="preserve">Code </w:t>
      </w:r>
      <w:r w:rsidR="008D5492">
        <w:t>Signatories</w:t>
      </w:r>
      <w:r w:rsidR="009E3FFC">
        <w:t xml:space="preserve">. </w:t>
      </w:r>
      <w:r w:rsidR="009133EF">
        <w:t xml:space="preserve">The </w:t>
      </w:r>
      <w:r w:rsidR="00F2465F">
        <w:t>two most prominent</w:t>
      </w:r>
      <w:r w:rsidR="009133EF">
        <w:t xml:space="preserve"> </w:t>
      </w:r>
      <w:r w:rsidR="00F821B0">
        <w:t xml:space="preserve">issues </w:t>
      </w:r>
      <w:r w:rsidR="00F2465F">
        <w:t>cited by Woolworths</w:t>
      </w:r>
      <w:r w:rsidR="003E7DEA">
        <w:t>’</w:t>
      </w:r>
      <w:r w:rsidR="00F2465F">
        <w:t xml:space="preserve"> suppliers</w:t>
      </w:r>
      <w:r w:rsidR="009133EF" w:rsidDel="00F821B0">
        <w:t xml:space="preserve"> </w:t>
      </w:r>
      <w:r w:rsidR="00F821B0">
        <w:t>were</w:t>
      </w:r>
      <w:r w:rsidR="009133EF">
        <w:t xml:space="preserve"> deductions off invoice or remittance without consent and suppliers being required to </w:t>
      </w:r>
      <w:r w:rsidR="00A50DA9">
        <w:t xml:space="preserve">fund promotions despite it being unreasonable in the circumstances. </w:t>
      </w:r>
    </w:p>
    <w:p w14:paraId="60DFB8EE" w14:textId="1E3F1329" w:rsidR="001F2F93" w:rsidRDefault="00F2465F" w:rsidP="00337208">
      <w:r>
        <w:t>The key issue reported</w:t>
      </w:r>
      <w:r w:rsidR="009B07DA">
        <w:t xml:space="preserve"> by </w:t>
      </w:r>
      <w:r w:rsidR="00EF07C0">
        <w:t>Coles</w:t>
      </w:r>
      <w:r w:rsidR="003E7DEA">
        <w:t>’</w:t>
      </w:r>
      <w:r w:rsidR="009B07DA">
        <w:t xml:space="preserve"> suppliers</w:t>
      </w:r>
      <w:r w:rsidR="00656963" w:rsidDel="00F2465F">
        <w:t xml:space="preserve"> </w:t>
      </w:r>
      <w:r>
        <w:t xml:space="preserve">was </w:t>
      </w:r>
      <w:r w:rsidR="00656963">
        <w:t>d</w:t>
      </w:r>
      <w:r w:rsidR="00656963" w:rsidRPr="00656963">
        <w:t>elisting without genuine commercial reason</w:t>
      </w:r>
      <w:r w:rsidR="00656963">
        <w:t xml:space="preserve">. </w:t>
      </w:r>
      <w:r w:rsidR="00EF07C0">
        <w:t>Metcash</w:t>
      </w:r>
      <w:r w:rsidR="009B07DA">
        <w:t xml:space="preserve"> suppliers</w:t>
      </w:r>
      <w:r w:rsidR="00656963" w:rsidDel="009B07DA">
        <w:t xml:space="preserve"> </w:t>
      </w:r>
      <w:r w:rsidR="00656963">
        <w:t xml:space="preserve">reported the </w:t>
      </w:r>
      <w:r w:rsidR="00656963" w:rsidRPr="00656963">
        <w:t>wholesaler overordering at a promotional cost and selling at full price</w:t>
      </w:r>
      <w:r w:rsidR="005D778C">
        <w:t xml:space="preserve"> </w:t>
      </w:r>
      <w:r w:rsidR="009B07DA">
        <w:t xml:space="preserve">more </w:t>
      </w:r>
      <w:r w:rsidR="005D778C">
        <w:t xml:space="preserve">than </w:t>
      </w:r>
      <w:r w:rsidR="009B07DA">
        <w:t xml:space="preserve">the </w:t>
      </w:r>
      <w:r w:rsidR="005D778C">
        <w:t>other retailers</w:t>
      </w:r>
      <w:r w:rsidR="00FA1656">
        <w:t xml:space="preserve">. </w:t>
      </w:r>
      <w:r w:rsidR="00EF07C0">
        <w:t>Aldi</w:t>
      </w:r>
      <w:r w:rsidR="009B07DA">
        <w:t xml:space="preserve"> suppliers were the most likely to identify</w:t>
      </w:r>
      <w:r w:rsidR="00656963">
        <w:t xml:space="preserve"> p</w:t>
      </w:r>
      <w:r w:rsidR="00656963" w:rsidRPr="00656963">
        <w:t>ayment</w:t>
      </w:r>
      <w:r w:rsidR="009B07DA">
        <w:t>s occurring</w:t>
      </w:r>
      <w:r w:rsidR="00656963" w:rsidRPr="00656963">
        <w:t xml:space="preserve"> later than </w:t>
      </w:r>
      <w:r w:rsidR="009B07DA">
        <w:t xml:space="preserve">the </w:t>
      </w:r>
      <w:r w:rsidR="00656963" w:rsidRPr="00656963">
        <w:t>agreed payment terms</w:t>
      </w:r>
      <w:r w:rsidR="00656963">
        <w:t xml:space="preserve">. </w:t>
      </w:r>
    </w:p>
    <w:p w14:paraId="5BE6D6F8" w14:textId="77777777" w:rsidR="001F2F93" w:rsidRDefault="001F2F93" w:rsidP="001F2F93">
      <w:pPr>
        <w:pStyle w:val="ListParagraph"/>
        <w:sectPr w:rsidR="001F2F93" w:rsidSect="00EC236D">
          <w:pgSz w:w="11906" w:h="16838" w:code="9"/>
          <w:pgMar w:top="1417" w:right="1417" w:bottom="1417" w:left="1417" w:header="709" w:footer="709" w:gutter="0"/>
          <w:cols w:space="708"/>
          <w:docGrid w:linePitch="360"/>
        </w:sectPr>
      </w:pPr>
    </w:p>
    <w:p w14:paraId="79EFC749" w14:textId="512DEDF1" w:rsidR="001F2F93" w:rsidRDefault="001F2F93" w:rsidP="00292DA5">
      <w:pPr>
        <w:pStyle w:val="TableSecondHeading"/>
      </w:pPr>
      <w:r w:rsidRPr="001F2F93">
        <w:lastRenderedPageBreak/>
        <w:t>Figure 6. Issues experienced by suppliers with their retailer/wholesaler</w:t>
      </w:r>
    </w:p>
    <w:p w14:paraId="25682C8B" w14:textId="77777777" w:rsidR="001F2F93" w:rsidRDefault="001F2F93" w:rsidP="00C26E75">
      <w:pPr>
        <w:sectPr w:rsidR="001F2F93" w:rsidSect="00EC236D">
          <w:pgSz w:w="11906" w:h="16838" w:code="9"/>
          <w:pgMar w:top="1417" w:right="1417" w:bottom="1417" w:left="1417" w:header="709" w:footer="709" w:gutter="0"/>
          <w:cols w:space="708"/>
          <w:docGrid w:linePitch="360"/>
        </w:sectPr>
      </w:pPr>
      <w:r>
        <w:rPr>
          <w:noProof/>
        </w:rPr>
        <w:drawing>
          <wp:inline distT="0" distB="0" distL="0" distR="0" wp14:anchorId="7F07F38C" wp14:editId="14175E35">
            <wp:extent cx="5620407" cy="8571451"/>
            <wp:effectExtent l="0" t="0" r="0" b="1270"/>
            <wp:docPr id="22" name="Chart 22" descr="Suppliers were asked to identify issues they had experienced with their retailer/wholesaler from a list of options. The highest number of issues raised were in relation to payments being received later than payment times, followed by deductions off invoices or remittances without consent. Overall, the number of issues reported by suppliers was small.  ">
              <a:extLst xmlns:a="http://schemas.openxmlformats.org/drawingml/2006/main">
                <a:ext uri="{FF2B5EF4-FFF2-40B4-BE49-F238E27FC236}">
                  <a16:creationId xmlns:a16="http://schemas.microsoft.com/office/drawing/2014/main" id="{C8C3ABA4-9338-44F8-9A85-D11CE00D4E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F26DF71" w14:textId="71DEBBBA" w:rsidR="002D6A63" w:rsidRDefault="00BA3129" w:rsidP="000D1B10">
      <w:r>
        <w:lastRenderedPageBreak/>
        <w:t xml:space="preserve">Figure 7 shows </w:t>
      </w:r>
      <w:r w:rsidR="00291F08">
        <w:t>selected issues experienced as reported in the</w:t>
      </w:r>
      <w:r>
        <w:t xml:space="preserve"> </w:t>
      </w:r>
      <w:r w:rsidR="00291F08">
        <w:t>2020</w:t>
      </w:r>
      <w:r w:rsidR="00FC6590">
        <w:t>–</w:t>
      </w:r>
      <w:r w:rsidR="00291F08">
        <w:t xml:space="preserve">21 and </w:t>
      </w:r>
      <w:r>
        <w:t>2021</w:t>
      </w:r>
      <w:r w:rsidR="00FC6590">
        <w:t>–</w:t>
      </w:r>
      <w:r>
        <w:t xml:space="preserve">22 </w:t>
      </w:r>
      <w:r w:rsidR="00291F08">
        <w:t xml:space="preserve">surveys. </w:t>
      </w:r>
      <w:r w:rsidR="00A05919">
        <w:t>At an industry</w:t>
      </w:r>
      <w:r w:rsidR="003E7DEA">
        <w:noBreakHyphen/>
      </w:r>
      <w:r w:rsidR="00A05919">
        <w:t>wide level, the main issues identified have</w:t>
      </w:r>
      <w:r w:rsidR="003937B0">
        <w:t xml:space="preserve"> shown a</w:t>
      </w:r>
      <w:r w:rsidR="00A05919">
        <w:t xml:space="preserve"> decrease since last year</w:t>
      </w:r>
      <w:r w:rsidR="000D1B10">
        <w:t xml:space="preserve">. </w:t>
      </w:r>
    </w:p>
    <w:p w14:paraId="5AD72D82" w14:textId="3B1A6AFA" w:rsidR="00A049BA" w:rsidRDefault="00D63EC1" w:rsidP="000D1B10">
      <w:r>
        <w:t xml:space="preserve">The survey results show an overall reduction in </w:t>
      </w:r>
      <w:r w:rsidR="00A049BA">
        <w:t>late payments</w:t>
      </w:r>
      <w:r>
        <w:t xml:space="preserve"> made without the supplier</w:t>
      </w:r>
      <w:r w:rsidR="003E7DEA">
        <w:t>’</w:t>
      </w:r>
      <w:r>
        <w:t xml:space="preserve">s agreement </w:t>
      </w:r>
      <w:r w:rsidR="00A049BA">
        <w:t>in 2021</w:t>
      </w:r>
      <w:r w:rsidR="00FC6590">
        <w:t>–</w:t>
      </w:r>
      <w:r w:rsidR="00A049BA">
        <w:t xml:space="preserve">22 </w:t>
      </w:r>
      <w:r w:rsidR="001557C6">
        <w:t xml:space="preserve">compared with the </w:t>
      </w:r>
      <w:r w:rsidR="00A049BA">
        <w:t xml:space="preserve">previous year. </w:t>
      </w:r>
    </w:p>
    <w:p w14:paraId="4E386259" w14:textId="46CA3BE9" w:rsidR="00E5060F" w:rsidRDefault="00AA53BB" w:rsidP="000D1B10">
      <w:r>
        <w:t xml:space="preserve">The results also show a reduction in the proportion of </w:t>
      </w:r>
      <w:r w:rsidR="00E5060F">
        <w:t>suppliers reporting deductions off invoice or remittance without consent</w:t>
      </w:r>
      <w:r>
        <w:t>. T</w:t>
      </w:r>
      <w:r w:rsidR="00E5060F">
        <w:t xml:space="preserve">his overall </w:t>
      </w:r>
      <w:r w:rsidR="00677C14">
        <w:t>improvement</w:t>
      </w:r>
      <w:r w:rsidR="00E5060F">
        <w:t xml:space="preserve"> can be attributed to </w:t>
      </w:r>
      <w:r w:rsidR="00677C14">
        <w:t xml:space="preserve">a </w:t>
      </w:r>
      <w:r w:rsidR="00E5060F">
        <w:t>significant</w:t>
      </w:r>
      <w:r w:rsidR="002F2725">
        <w:t>ly lower proportion of Coles</w:t>
      </w:r>
      <w:r w:rsidR="003E7DEA">
        <w:t>’</w:t>
      </w:r>
      <w:r w:rsidR="002F2725">
        <w:t xml:space="preserve"> and Metcash</w:t>
      </w:r>
      <w:r w:rsidR="003E7DEA">
        <w:t>’</w:t>
      </w:r>
      <w:r w:rsidR="002F2725">
        <w:t xml:space="preserve">s suppliers reporting this as an issue </w:t>
      </w:r>
      <w:r w:rsidR="00677C14">
        <w:t>in 2021</w:t>
      </w:r>
      <w:r w:rsidR="00FC6590">
        <w:t>–</w:t>
      </w:r>
      <w:r w:rsidR="00677C14">
        <w:t>22</w:t>
      </w:r>
      <w:r w:rsidR="0033347E">
        <w:t>,</w:t>
      </w:r>
      <w:r w:rsidR="00677C14">
        <w:t xml:space="preserve"> </w:t>
      </w:r>
      <w:r w:rsidR="002F2725">
        <w:t>w</w:t>
      </w:r>
      <w:r w:rsidR="00E5060F">
        <w:t>hile the issue persisted for Woolworths</w:t>
      </w:r>
      <w:r w:rsidR="003E7DEA">
        <w:t>’</w:t>
      </w:r>
      <w:r w:rsidR="00E5060F">
        <w:t xml:space="preserve"> and Aldi</w:t>
      </w:r>
      <w:r w:rsidR="003E7DEA">
        <w:t>’</w:t>
      </w:r>
      <w:r w:rsidR="00E5060F">
        <w:t xml:space="preserve">s suppliers. </w:t>
      </w:r>
    </w:p>
    <w:p w14:paraId="3813736C" w14:textId="7C2559BA" w:rsidR="00226169" w:rsidRDefault="00226169" w:rsidP="000D1B10">
      <w:pPr>
        <w:rPr>
          <w:rFonts w:cs="Calibri"/>
          <w:color w:val="000000"/>
          <w:szCs w:val="22"/>
        </w:rPr>
      </w:pPr>
      <w:r>
        <w:t xml:space="preserve">The largest </w:t>
      </w:r>
      <w:r w:rsidR="002F1307">
        <w:t xml:space="preserve">year to year </w:t>
      </w:r>
      <w:r>
        <w:t xml:space="preserve">reduction amongst the categories was </w:t>
      </w:r>
      <w:r w:rsidR="002F1307">
        <w:t xml:space="preserve">for </w:t>
      </w:r>
      <w:r>
        <w:t>c</w:t>
      </w:r>
      <w:r w:rsidRPr="00226169">
        <w:rPr>
          <w:rFonts w:cs="Calibri"/>
          <w:color w:val="000000"/>
          <w:szCs w:val="22"/>
        </w:rPr>
        <w:t xml:space="preserve">ancellation of </w:t>
      </w:r>
      <w:r w:rsidR="002F1307">
        <w:rPr>
          <w:rFonts w:cs="Calibri"/>
          <w:color w:val="000000"/>
          <w:szCs w:val="22"/>
        </w:rPr>
        <w:t xml:space="preserve">a </w:t>
      </w:r>
      <w:r w:rsidRPr="00226169">
        <w:rPr>
          <w:rFonts w:cs="Calibri"/>
          <w:color w:val="000000"/>
          <w:szCs w:val="22"/>
        </w:rPr>
        <w:t xml:space="preserve">promotion order or reduction of </w:t>
      </w:r>
      <w:r w:rsidR="002F1307">
        <w:rPr>
          <w:rFonts w:cs="Calibri"/>
          <w:color w:val="000000"/>
          <w:szCs w:val="22"/>
        </w:rPr>
        <w:t xml:space="preserve">a </w:t>
      </w:r>
      <w:r w:rsidRPr="00226169">
        <w:rPr>
          <w:rFonts w:cs="Calibri"/>
          <w:color w:val="000000"/>
          <w:szCs w:val="22"/>
        </w:rPr>
        <w:t xml:space="preserve">promotion order by </w:t>
      </w:r>
      <w:r w:rsidR="0082065F">
        <w:rPr>
          <w:rFonts w:cs="Calibri"/>
          <w:color w:val="000000"/>
          <w:szCs w:val="22"/>
        </w:rPr>
        <w:t xml:space="preserve">more than </w:t>
      </w:r>
      <w:r w:rsidRPr="00226169">
        <w:rPr>
          <w:rFonts w:cs="Calibri"/>
          <w:color w:val="000000"/>
          <w:szCs w:val="22"/>
        </w:rPr>
        <w:t>10</w:t>
      </w:r>
      <w:r w:rsidR="0082065F">
        <w:rPr>
          <w:rFonts w:cs="Calibri"/>
          <w:color w:val="000000"/>
          <w:szCs w:val="22"/>
        </w:rPr>
        <w:t xml:space="preserve"> per cent </w:t>
      </w:r>
      <w:r w:rsidRPr="00226169">
        <w:rPr>
          <w:rFonts w:cs="Calibri"/>
          <w:color w:val="000000"/>
          <w:szCs w:val="22"/>
        </w:rPr>
        <w:t>(</w:t>
      </w:r>
      <w:r w:rsidR="0082065F">
        <w:rPr>
          <w:rFonts w:cs="Calibri"/>
          <w:color w:val="000000"/>
          <w:szCs w:val="22"/>
        </w:rPr>
        <w:t xml:space="preserve">or more than 20 per cent for </w:t>
      </w:r>
      <w:r w:rsidRPr="00226169">
        <w:rPr>
          <w:rFonts w:cs="Calibri"/>
          <w:color w:val="000000"/>
          <w:szCs w:val="22"/>
        </w:rPr>
        <w:t>Metcash) without agreement</w:t>
      </w:r>
      <w:r>
        <w:rPr>
          <w:rFonts w:cs="Calibri"/>
          <w:color w:val="000000"/>
          <w:szCs w:val="22"/>
        </w:rPr>
        <w:t xml:space="preserve">. This decreased </w:t>
      </w:r>
      <w:r w:rsidR="00D54E2F">
        <w:rPr>
          <w:rFonts w:cs="Calibri"/>
          <w:color w:val="000000"/>
          <w:szCs w:val="22"/>
        </w:rPr>
        <w:t xml:space="preserve">from </w:t>
      </w:r>
      <w:r>
        <w:rPr>
          <w:rFonts w:cs="Calibri"/>
          <w:color w:val="000000"/>
          <w:szCs w:val="22"/>
        </w:rPr>
        <w:t xml:space="preserve">9 per cent of suppliers </w:t>
      </w:r>
      <w:r w:rsidR="006841FC">
        <w:rPr>
          <w:rFonts w:cs="Calibri"/>
          <w:color w:val="000000"/>
          <w:szCs w:val="22"/>
        </w:rPr>
        <w:t xml:space="preserve">reporting </w:t>
      </w:r>
      <w:r>
        <w:rPr>
          <w:rFonts w:cs="Calibri"/>
          <w:color w:val="000000"/>
          <w:szCs w:val="22"/>
        </w:rPr>
        <w:t>experiencing this issue in 2020</w:t>
      </w:r>
      <w:r w:rsidR="00FC6590">
        <w:t>–</w:t>
      </w:r>
      <w:r>
        <w:rPr>
          <w:rFonts w:cs="Calibri"/>
          <w:color w:val="000000"/>
          <w:szCs w:val="22"/>
        </w:rPr>
        <w:t>21 to only 1 per cent</w:t>
      </w:r>
      <w:r w:rsidR="000542E2">
        <w:rPr>
          <w:rFonts w:cs="Calibri"/>
          <w:color w:val="000000"/>
          <w:szCs w:val="22"/>
        </w:rPr>
        <w:t xml:space="preserve"> </w:t>
      </w:r>
      <w:r>
        <w:rPr>
          <w:rFonts w:cs="Calibri"/>
          <w:color w:val="000000"/>
          <w:szCs w:val="22"/>
        </w:rPr>
        <w:t>in 2021</w:t>
      </w:r>
      <w:r w:rsidR="00FC6590">
        <w:t>–</w:t>
      </w:r>
      <w:r>
        <w:rPr>
          <w:rFonts w:cs="Calibri"/>
          <w:color w:val="000000"/>
          <w:szCs w:val="22"/>
        </w:rPr>
        <w:t>22.</w:t>
      </w:r>
      <w:r w:rsidR="006841FC">
        <w:rPr>
          <w:rFonts w:cs="Calibri"/>
          <w:color w:val="000000"/>
          <w:szCs w:val="22"/>
        </w:rPr>
        <w:t xml:space="preserve"> However</w:t>
      </w:r>
      <w:r w:rsidR="00617AF5">
        <w:rPr>
          <w:rFonts w:cs="Calibri"/>
          <w:color w:val="000000"/>
          <w:szCs w:val="22"/>
        </w:rPr>
        <w:t>,</w:t>
      </w:r>
      <w:r w:rsidR="006841FC">
        <w:rPr>
          <w:rFonts w:cs="Calibri"/>
          <w:color w:val="000000"/>
          <w:szCs w:val="22"/>
        </w:rPr>
        <w:t xml:space="preserve"> this may be explained by</w:t>
      </w:r>
      <w:r>
        <w:rPr>
          <w:rFonts w:cs="Calibri"/>
          <w:color w:val="000000"/>
          <w:szCs w:val="22"/>
        </w:rPr>
        <w:t xml:space="preserve"> </w:t>
      </w:r>
      <w:r w:rsidR="006841FC">
        <w:rPr>
          <w:rFonts w:cs="Calibri"/>
          <w:color w:val="000000"/>
          <w:szCs w:val="22"/>
        </w:rPr>
        <w:t>amendments made to the description of the issue in the 2021</w:t>
      </w:r>
      <w:r w:rsidR="00FC6590">
        <w:t>–</w:t>
      </w:r>
      <w:r w:rsidR="006841FC">
        <w:rPr>
          <w:rFonts w:cs="Calibri"/>
          <w:color w:val="000000"/>
          <w:szCs w:val="22"/>
        </w:rPr>
        <w:t>22 survey</w:t>
      </w:r>
      <w:r w:rsidR="007A2841">
        <w:rPr>
          <w:rFonts w:cs="Calibri"/>
          <w:color w:val="000000"/>
          <w:szCs w:val="22"/>
        </w:rPr>
        <w:t xml:space="preserve"> to identify occurrences without supplier agreement</w:t>
      </w:r>
      <w:r w:rsidR="006841FC">
        <w:rPr>
          <w:rFonts w:cs="Calibri"/>
          <w:color w:val="000000"/>
          <w:szCs w:val="22"/>
        </w:rPr>
        <w:t>.</w:t>
      </w:r>
    </w:p>
    <w:p w14:paraId="3FF02B08" w14:textId="66A5D855" w:rsidR="006547F9" w:rsidRPr="006547F9" w:rsidRDefault="006547F9" w:rsidP="00292DA5">
      <w:pPr>
        <w:pStyle w:val="TableSecondHeading"/>
      </w:pPr>
      <w:r w:rsidRPr="006547F9">
        <w:t>Figure 7. Industry</w:t>
      </w:r>
      <w:r w:rsidR="003E7DEA">
        <w:noBreakHyphen/>
      </w:r>
      <w:r w:rsidRPr="006547F9">
        <w:t>wide results for issues experienced in 2020–21 and 2021–22</w:t>
      </w:r>
    </w:p>
    <w:p w14:paraId="201B095B" w14:textId="46C94481" w:rsidR="00C26E75" w:rsidRDefault="00A05919" w:rsidP="000D1B10">
      <w:pPr>
        <w:spacing w:after="0"/>
      </w:pPr>
      <w:r>
        <w:rPr>
          <w:noProof/>
        </w:rPr>
        <w:drawing>
          <wp:inline distT="0" distB="0" distL="0" distR="0" wp14:anchorId="11104DF0" wp14:editId="48B9344D">
            <wp:extent cx="5747657" cy="5296395"/>
            <wp:effectExtent l="0" t="0" r="5715" b="0"/>
            <wp:docPr id="16" name="Chart 16" descr="Year to year comparison of key issues experienced by suppliers. A smaller proportion of suppliers reported experiencing issues this year than last year.">
              <a:extLst xmlns:a="http://schemas.openxmlformats.org/drawingml/2006/main">
                <a:ext uri="{FF2B5EF4-FFF2-40B4-BE49-F238E27FC236}">
                  <a16:creationId xmlns:a16="http://schemas.microsoft.com/office/drawing/2014/main" id="{64260735-EDA5-4D37-B71C-98DBF5CC9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635C47" w14:textId="466E6B82" w:rsidR="000D1B10" w:rsidRPr="00037972" w:rsidRDefault="000D1B10" w:rsidP="00037972">
      <w:pPr>
        <w:pStyle w:val="CommentText"/>
      </w:pPr>
      <w:r w:rsidRPr="00037972">
        <w:t>*</w:t>
      </w:r>
      <w:r w:rsidR="00DD3E91" w:rsidRPr="00037972">
        <w:t>N</w:t>
      </w:r>
      <w:r w:rsidR="00E672CE" w:rsidRPr="00037972">
        <w:t>ote</w:t>
      </w:r>
      <w:r w:rsidR="00DD3E91" w:rsidRPr="00037972">
        <w:t>:</w:t>
      </w:r>
      <w:r w:rsidR="00E672CE" w:rsidRPr="00037972">
        <w:t xml:space="preserve"> </w:t>
      </w:r>
      <w:r w:rsidR="00DD3E91" w:rsidRPr="00037972">
        <w:t xml:space="preserve">the description of </w:t>
      </w:r>
      <w:r w:rsidR="00E672CE" w:rsidRPr="00037972">
        <w:t>these</w:t>
      </w:r>
      <w:r w:rsidRPr="00037972">
        <w:t xml:space="preserve"> issues</w:t>
      </w:r>
      <w:r w:rsidRPr="00037972" w:rsidDel="00DD3E91">
        <w:t xml:space="preserve"> </w:t>
      </w:r>
      <w:r w:rsidR="0033347E" w:rsidRPr="00037972">
        <w:t>was</w:t>
      </w:r>
      <w:r w:rsidR="00DD3E91" w:rsidRPr="00037972">
        <w:t xml:space="preserve"> a</w:t>
      </w:r>
      <w:r w:rsidR="00643775" w:rsidRPr="00037972">
        <w:t>ltered</w:t>
      </w:r>
      <w:r w:rsidR="00DD3E91" w:rsidRPr="00037972">
        <w:t xml:space="preserve"> for the 2021</w:t>
      </w:r>
      <w:r w:rsidR="00FC6590" w:rsidRPr="00037972">
        <w:t>–</w:t>
      </w:r>
      <w:r w:rsidR="00DD3E91" w:rsidRPr="00037972">
        <w:t>22 survey</w:t>
      </w:r>
      <w:r w:rsidR="00643775" w:rsidRPr="00037972">
        <w:t xml:space="preserve"> to better align with the provisions in the Code</w:t>
      </w:r>
      <w:r w:rsidRPr="00037972">
        <w:t xml:space="preserve">. </w:t>
      </w:r>
    </w:p>
    <w:p w14:paraId="43607BCE" w14:textId="2F3DA5EF" w:rsidR="00764B7C" w:rsidRDefault="00CE66FD" w:rsidP="00337208">
      <w:pPr>
        <w:pStyle w:val="Heading3"/>
      </w:pPr>
      <w:bookmarkStart w:id="31" w:name="_Toc121996074"/>
      <w:r>
        <w:lastRenderedPageBreak/>
        <w:t>Raising supplier complaints</w:t>
      </w:r>
      <w:bookmarkEnd w:id="31"/>
    </w:p>
    <w:p w14:paraId="6B137E4A" w14:textId="338E49F6" w:rsidR="006547F9" w:rsidRPr="006547F9" w:rsidRDefault="006547F9" w:rsidP="00292DA5">
      <w:pPr>
        <w:pStyle w:val="TableSecondHeading"/>
      </w:pPr>
      <w:r w:rsidRPr="006547F9">
        <w:t xml:space="preserve">Figure 8. Impediments to raising an issue with the buying team </w:t>
      </w:r>
    </w:p>
    <w:p w14:paraId="2CFC8F73" w14:textId="195526FB" w:rsidR="00DC0862" w:rsidRPr="00DC0862" w:rsidRDefault="00DC0862" w:rsidP="00DC0862">
      <w:r>
        <w:rPr>
          <w:noProof/>
        </w:rPr>
        <w:drawing>
          <wp:inline distT="0" distB="0" distL="0" distR="0" wp14:anchorId="72C52C25" wp14:editId="644D2C84">
            <wp:extent cx="5753100" cy="4648200"/>
            <wp:effectExtent l="0" t="0" r="0" b="0"/>
            <wp:docPr id="25" name="Chart 25" descr="Suppliers were asked to identify impediments they saw to raising an issue with the retailer/wholesaler buying team. Options provided included that there were no impediments, that they didn’t believe the buying team would resolve the issue, that they didn’t have time to undertake the process or consider the issue serious enough to raise, or that they feared retribution or damaging the commercial relationship, among others.">
              <a:extLst xmlns:a="http://schemas.openxmlformats.org/drawingml/2006/main">
                <a:ext uri="{FF2B5EF4-FFF2-40B4-BE49-F238E27FC236}">
                  <a16:creationId xmlns:a16="http://schemas.microsoft.com/office/drawing/2014/main" id="{EF65182C-9862-45A2-8D0B-BC493E400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105C5A0" w14:textId="3C9E6127" w:rsidR="00866466" w:rsidRDefault="00C743F7" w:rsidP="00CA07C7">
      <w:bookmarkStart w:id="32" w:name="_Hlk119924821"/>
      <w:r>
        <w:t xml:space="preserve">Over 45 per cent of respondents for each of the </w:t>
      </w:r>
      <w:r w:rsidDel="008D5492">
        <w:t xml:space="preserve">Code </w:t>
      </w:r>
      <w:r w:rsidR="008D5492">
        <w:t>Signatories</w:t>
      </w:r>
      <w:r>
        <w:t xml:space="preserve"> said there were no impediments to raising an issue or concern with their retailer/wholesaler</w:t>
      </w:r>
      <w:r w:rsidR="003E7DEA">
        <w:t>’</w:t>
      </w:r>
      <w:r>
        <w:t xml:space="preserve">s buying team. </w:t>
      </w:r>
      <w:r w:rsidR="00643F15">
        <w:t>This represent</w:t>
      </w:r>
      <w:r w:rsidR="00180601">
        <w:t>s</w:t>
      </w:r>
      <w:r w:rsidR="00643F15">
        <w:t xml:space="preserve"> a notable increase </w:t>
      </w:r>
      <w:r w:rsidR="00026E92">
        <w:t xml:space="preserve">from </w:t>
      </w:r>
      <w:r w:rsidR="00E31A2B">
        <w:t>an average of 2</w:t>
      </w:r>
      <w:r w:rsidR="0093195C">
        <w:t>4</w:t>
      </w:r>
      <w:r w:rsidR="00E31A2B">
        <w:t xml:space="preserve"> </w:t>
      </w:r>
      <w:r w:rsidR="00026E92">
        <w:t>per cent of</w:t>
      </w:r>
      <w:r w:rsidR="00643F15">
        <w:t xml:space="preserve"> </w:t>
      </w:r>
      <w:r w:rsidR="00542035">
        <w:t>last year</w:t>
      </w:r>
      <w:r w:rsidR="003E7DEA">
        <w:t>’</w:t>
      </w:r>
      <w:r w:rsidR="00542035">
        <w:t xml:space="preserve">s </w:t>
      </w:r>
      <w:r w:rsidR="00643F15">
        <w:t>respon</w:t>
      </w:r>
      <w:r w:rsidR="00180601">
        <w:t xml:space="preserve">dents considering that there were no impediments. </w:t>
      </w:r>
    </w:p>
    <w:p w14:paraId="534795B5" w14:textId="77777777" w:rsidR="00866466" w:rsidRDefault="00866466" w:rsidP="00866466">
      <w:r w:rsidRPr="00866466">
        <w:t>Of the suppliers that identified impediments to raising an issue with the buying team, fear of damaging a commercial relationship and fear of retribution were the</w:t>
      </w:r>
      <w:r>
        <w:rPr>
          <w:color w:val="000000"/>
          <w:sz w:val="27"/>
          <w:szCs w:val="27"/>
        </w:rPr>
        <w:t xml:space="preserve"> </w:t>
      </w:r>
      <w:r w:rsidRPr="00866466">
        <w:t xml:space="preserve">most common </w:t>
      </w:r>
      <w:r>
        <w:t xml:space="preserve">reasons. </w:t>
      </w:r>
    </w:p>
    <w:p w14:paraId="20F04593" w14:textId="0C0E3712" w:rsidR="00866466" w:rsidRDefault="00866466" w:rsidP="00866466">
      <w:r>
        <w:t>Over 35 per cent of respondents to Woolworths and Coles identified fear of damaging a commercial relationship as a key impediment, compared to 23 per cent for Metcash</w:t>
      </w:r>
      <w:r w:rsidR="00496D26">
        <w:t>,</w:t>
      </w:r>
      <w:r>
        <w:t xml:space="preserve"> and 22 per cent for Aldi. </w:t>
      </w:r>
    </w:p>
    <w:p w14:paraId="5E52885A" w14:textId="6B2DF86A" w:rsidR="00866466" w:rsidRDefault="00301A8B" w:rsidP="006A1952">
      <w:r>
        <w:t>B</w:t>
      </w:r>
      <w:r w:rsidR="006A1952">
        <w:t xml:space="preserve">etween 9 and 23 per cent of respondents considered </w:t>
      </w:r>
      <w:r>
        <w:t xml:space="preserve">fear of retribution </w:t>
      </w:r>
      <w:r w:rsidR="006A1952">
        <w:t>to be an impediment to bringing a complaint to their retailer/wholesaler</w:t>
      </w:r>
      <w:r w:rsidR="003E7DEA">
        <w:t>’</w:t>
      </w:r>
      <w:r w:rsidR="004F2041">
        <w:t>s buying team</w:t>
      </w:r>
      <w:r w:rsidR="0082065F">
        <w:t>, with Woolworths</w:t>
      </w:r>
      <w:r w:rsidR="003E7DEA">
        <w:t>’</w:t>
      </w:r>
      <w:r w:rsidR="0082065F">
        <w:t xml:space="preserve"> suppliers being </w:t>
      </w:r>
      <w:r w:rsidR="006A0B03">
        <w:t xml:space="preserve">the most concerned about retribution and </w:t>
      </w:r>
      <w:r w:rsidR="0082065F">
        <w:t>Aldi</w:t>
      </w:r>
      <w:r w:rsidR="003E7DEA">
        <w:t>’</w:t>
      </w:r>
      <w:r w:rsidR="006A0B03">
        <w:t>s suppliers</w:t>
      </w:r>
      <w:r w:rsidR="0082065F">
        <w:t xml:space="preserve"> </w:t>
      </w:r>
      <w:r w:rsidR="006A0B03">
        <w:t xml:space="preserve">being the least concerned of the four </w:t>
      </w:r>
      <w:r w:rsidR="006A0B03" w:rsidDel="008D5492">
        <w:t xml:space="preserve">Code </w:t>
      </w:r>
      <w:r w:rsidR="008D5492">
        <w:t>Signatories</w:t>
      </w:r>
      <w:r w:rsidR="006A0B03">
        <w:t xml:space="preserve">. </w:t>
      </w:r>
      <w:r w:rsidR="007968E7">
        <w:t>Last year</w:t>
      </w:r>
      <w:r w:rsidR="00B11CCA">
        <w:t xml:space="preserve"> between 1</w:t>
      </w:r>
      <w:r w:rsidR="000C1E94">
        <w:t>1</w:t>
      </w:r>
      <w:r w:rsidR="00B11CCA">
        <w:t xml:space="preserve"> </w:t>
      </w:r>
      <w:r w:rsidR="000F3F8C">
        <w:t xml:space="preserve">per cent </w:t>
      </w:r>
      <w:r w:rsidR="004F2041">
        <w:t xml:space="preserve">(Aldi) </w:t>
      </w:r>
      <w:r w:rsidR="00B11CCA">
        <w:t xml:space="preserve">and 31 per cent </w:t>
      </w:r>
      <w:r w:rsidR="004F2041">
        <w:t xml:space="preserve">(Woolworths) </w:t>
      </w:r>
      <w:r w:rsidR="00B11CCA">
        <w:t>of respondents considered fear of retribution to be an impediment to bringing a complaint to their retailer/wholesaler</w:t>
      </w:r>
      <w:r w:rsidR="003E7DEA">
        <w:t>’</w:t>
      </w:r>
      <w:r w:rsidR="00B11CCA">
        <w:t>s buying team</w:t>
      </w:r>
      <w:r w:rsidR="003E7DEA">
        <w:t xml:space="preserve">. </w:t>
      </w:r>
    </w:p>
    <w:p w14:paraId="58C7607F" w14:textId="02A2AC45" w:rsidR="00764B7C" w:rsidRDefault="0043602C" w:rsidP="003D3A6D">
      <w:pPr>
        <w:pStyle w:val="Heading3"/>
      </w:pPr>
      <w:bookmarkStart w:id="33" w:name="_Toc121996075"/>
      <w:bookmarkEnd w:id="32"/>
      <w:r>
        <w:lastRenderedPageBreak/>
        <w:t xml:space="preserve">Bringing a complaint to the </w:t>
      </w:r>
      <w:r w:rsidR="00CE66FD">
        <w:t>Independent Reviewer</w:t>
      </w:r>
      <w:bookmarkEnd w:id="33"/>
    </w:p>
    <w:p w14:paraId="35B78F4F" w14:textId="73DFEAD3" w:rsidR="006547F9" w:rsidRPr="006547F9" w:rsidRDefault="006547F9" w:rsidP="00292DA5">
      <w:pPr>
        <w:pStyle w:val="TableSecondHeading"/>
      </w:pPr>
      <w:r w:rsidRPr="006547F9">
        <w:t>Figure 9. Key impediments to bringing a complaint to the Independent Reviewer</w:t>
      </w:r>
    </w:p>
    <w:p w14:paraId="0BCAFF51" w14:textId="4CD1F6C9" w:rsidR="00D33726" w:rsidRPr="00D33726" w:rsidRDefault="006D1D8F" w:rsidP="00D33726">
      <w:r>
        <w:rPr>
          <w:noProof/>
        </w:rPr>
        <w:drawing>
          <wp:inline distT="0" distB="0" distL="0" distR="0" wp14:anchorId="2DF5568F" wp14:editId="2F69B785">
            <wp:extent cx="5886450" cy="5305425"/>
            <wp:effectExtent l="0" t="0" r="0" b="0"/>
            <wp:docPr id="6" name="Chart 6" descr="Suppliers were asked to identify impediments they saw to raising a complaint with the Independent Reviewer. Options provided included not needing to, not having the time, fear of retribution or damaging the commercial relationship, among others.">
              <a:extLst xmlns:a="http://schemas.openxmlformats.org/drawingml/2006/main">
                <a:ext uri="{FF2B5EF4-FFF2-40B4-BE49-F238E27FC236}">
                  <a16:creationId xmlns:a16="http://schemas.microsoft.com/office/drawing/2014/main" id="{1015D3EC-AA74-4836-B338-67F6A570B2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3245AB8" w14:textId="5DF013F7" w:rsidR="00EB706A" w:rsidRDefault="00E94686" w:rsidP="00A8307C">
      <w:r>
        <w:t xml:space="preserve">Suppliers were asked whether they </w:t>
      </w:r>
      <w:r w:rsidR="0043602C">
        <w:t>would consider bringing a decision made by their retailer/wholesaler</w:t>
      </w:r>
      <w:r w:rsidR="003E7DEA">
        <w:t>’</w:t>
      </w:r>
      <w:r w:rsidR="0043602C">
        <w:t xml:space="preserve">s Code Arbiter to the Independent Reviewer for review. </w:t>
      </w:r>
    </w:p>
    <w:p w14:paraId="7CD63545" w14:textId="2A429896" w:rsidR="00E46482" w:rsidRDefault="00A8307C" w:rsidP="00EB706A">
      <w:r>
        <w:t xml:space="preserve">26 per cent of respondents </w:t>
      </w:r>
      <w:r w:rsidR="00823D0D">
        <w:t xml:space="preserve">to this </w:t>
      </w:r>
      <w:r>
        <w:t>question reported that they would not consider bringing a decision made by a Code Arbiter to the Independent Reviewer.</w:t>
      </w:r>
      <w:r w:rsidR="00E46482" w:rsidRPr="00E46482">
        <w:t xml:space="preserve"> </w:t>
      </w:r>
    </w:p>
    <w:p w14:paraId="2FB73AF8" w14:textId="1174C8E8" w:rsidR="00A8307C" w:rsidRDefault="00823D0D" w:rsidP="00EB706A">
      <w:r>
        <w:t xml:space="preserve">Suppliers that </w:t>
      </w:r>
      <w:r w:rsidR="00E46482">
        <w:t>answered</w:t>
      </w:r>
      <w:r>
        <w:t xml:space="preserve"> that they would not</w:t>
      </w:r>
      <w:r w:rsidR="00F55D56">
        <w:t xml:space="preserve"> consider bringing a complaint to the Independent Reviewer</w:t>
      </w:r>
      <w:r w:rsidR="00E46482" w:rsidDel="00F55D56">
        <w:t xml:space="preserve"> </w:t>
      </w:r>
      <w:r w:rsidR="00F55D56">
        <w:t>were</w:t>
      </w:r>
      <w:r w:rsidR="00E46482">
        <w:t xml:space="preserve"> asked to explain why. </w:t>
      </w:r>
      <w:r w:rsidR="00F55D56">
        <w:t xml:space="preserve">Figure 9 shows the most common reasons given by suppliers. </w:t>
      </w:r>
    </w:p>
    <w:p w14:paraId="610E5178" w14:textId="584CC3A7" w:rsidR="00BC1612" w:rsidRDefault="00380A2D" w:rsidP="00CA07C7">
      <w:r>
        <w:t xml:space="preserve">The </w:t>
      </w:r>
      <w:r w:rsidR="008D640F">
        <w:t>two most common reasons provided</w:t>
      </w:r>
      <w:r w:rsidR="004C3C55">
        <w:t xml:space="preserve"> by suppliers</w:t>
      </w:r>
      <w:r w:rsidR="008D640F">
        <w:t xml:space="preserve"> were that </w:t>
      </w:r>
      <w:r w:rsidR="004C3C55">
        <w:t xml:space="preserve">they </w:t>
      </w:r>
      <w:r w:rsidR="008D640F">
        <w:t xml:space="preserve">did not consider they </w:t>
      </w:r>
      <w:r w:rsidR="005726C0">
        <w:t xml:space="preserve">needed </w:t>
      </w:r>
      <w:r w:rsidR="008D640F">
        <w:t xml:space="preserve">to bring a complaint </w:t>
      </w:r>
      <w:r>
        <w:t>at th</w:t>
      </w:r>
      <w:r w:rsidR="008D640F">
        <w:t>e current</w:t>
      </w:r>
      <w:r>
        <w:t xml:space="preserve"> time</w:t>
      </w:r>
      <w:r w:rsidR="004C3C55">
        <w:t>,</w:t>
      </w:r>
      <w:r w:rsidR="008948FE" w:rsidDel="008D640F">
        <w:t xml:space="preserve"> </w:t>
      </w:r>
      <w:r w:rsidR="004C3C55">
        <w:t>or</w:t>
      </w:r>
      <w:r w:rsidR="008D640F">
        <w:t xml:space="preserve"> that </w:t>
      </w:r>
      <w:r w:rsidR="004C3C55">
        <w:t xml:space="preserve">they </w:t>
      </w:r>
      <w:r w:rsidR="008D640F">
        <w:t>were concerned about</w:t>
      </w:r>
      <w:r w:rsidR="008948FE" w:rsidDel="008D640F">
        <w:t xml:space="preserve"> </w:t>
      </w:r>
      <w:r w:rsidR="008948FE">
        <w:t xml:space="preserve">retribution </w:t>
      </w:r>
      <w:r w:rsidR="008D640F">
        <w:t>or causing</w:t>
      </w:r>
      <w:r w:rsidR="008948FE">
        <w:t xml:space="preserve"> </w:t>
      </w:r>
      <w:r w:rsidR="008D640F">
        <w:t>damage</w:t>
      </w:r>
      <w:r w:rsidR="008948FE">
        <w:t xml:space="preserve"> to </w:t>
      </w:r>
      <w:r w:rsidR="008D640F">
        <w:t xml:space="preserve">their </w:t>
      </w:r>
      <w:r w:rsidR="008948FE">
        <w:t>commercial relationship</w:t>
      </w:r>
      <w:r w:rsidR="008D640F">
        <w:t xml:space="preserve"> with retailer/wholesaler</w:t>
      </w:r>
      <w:r w:rsidR="004C3C55">
        <w:t>.</w:t>
      </w:r>
      <w:r w:rsidR="008948FE" w:rsidDel="008D640F">
        <w:t xml:space="preserve"> </w:t>
      </w:r>
    </w:p>
    <w:p w14:paraId="019C7E97" w14:textId="77777777" w:rsidR="00292DA5" w:rsidRDefault="00292DA5" w:rsidP="00292DA5">
      <w:pPr>
        <w:pStyle w:val="Heading1"/>
        <w:sectPr w:rsidR="00292DA5" w:rsidSect="00EC236D">
          <w:pgSz w:w="11906" w:h="16838" w:code="9"/>
          <w:pgMar w:top="1417" w:right="1417" w:bottom="1417" w:left="1417" w:header="709" w:footer="709" w:gutter="0"/>
          <w:cols w:space="708"/>
          <w:docGrid w:linePitch="360"/>
        </w:sectPr>
      </w:pPr>
    </w:p>
    <w:p w14:paraId="33928002" w14:textId="7006F799" w:rsidR="00126B67" w:rsidRPr="00307607" w:rsidRDefault="00126B67" w:rsidP="00816C2C">
      <w:pPr>
        <w:pStyle w:val="Heading1"/>
      </w:pPr>
      <w:bookmarkStart w:id="34" w:name="_Toc121996076"/>
      <w:r w:rsidRPr="00307607">
        <w:lastRenderedPageBreak/>
        <w:t xml:space="preserve">Overall </w:t>
      </w:r>
      <w:r w:rsidR="00AE7FE3" w:rsidRPr="00307607">
        <w:t>o</w:t>
      </w:r>
      <w:r w:rsidRPr="00307607">
        <w:t>bservations</w:t>
      </w:r>
      <w:bookmarkEnd w:id="34"/>
    </w:p>
    <w:p w14:paraId="5169605C" w14:textId="1173F11E" w:rsidR="00FD5127" w:rsidRDefault="00FD5127" w:rsidP="00FD5127">
      <w:r>
        <w:t>This annual survey is the second to be conducted</w:t>
      </w:r>
      <w:r w:rsidR="00251188">
        <w:t xml:space="preserve"> by the Independent Reviewer</w:t>
      </w:r>
      <w:r>
        <w:t>, with results becoming more telling as comparisons can be drawn to last year</w:t>
      </w:r>
      <w:r w:rsidR="003E7DEA">
        <w:t>’</w:t>
      </w:r>
      <w:r>
        <w:t xml:space="preserve">s results </w:t>
      </w:r>
      <w:r w:rsidR="00251188">
        <w:t xml:space="preserve">to consider whether </w:t>
      </w:r>
      <w:r>
        <w:t xml:space="preserve">the work of the </w:t>
      </w:r>
      <w:r w:rsidDel="008D5492">
        <w:t xml:space="preserve">Code </w:t>
      </w:r>
      <w:r w:rsidR="008D5492">
        <w:t>Signatories</w:t>
      </w:r>
      <w:r>
        <w:t>, Code Arbiters, and the Independent Reviewer has made a positive impact</w:t>
      </w:r>
      <w:r w:rsidR="00DF38B1">
        <w:t>, or not,</w:t>
      </w:r>
      <w:r>
        <w:t xml:space="preserve"> on the industry.</w:t>
      </w:r>
    </w:p>
    <w:p w14:paraId="52A28EA6" w14:textId="76F660B6" w:rsidR="00FD5127" w:rsidRDefault="00FD5127" w:rsidP="00FD5127">
      <w:r>
        <w:t>The results indicate that suppliers</w:t>
      </w:r>
      <w:r w:rsidR="00251188">
        <w:t xml:space="preserve"> generally</w:t>
      </w:r>
      <w:r>
        <w:t xml:space="preserve"> have </w:t>
      </w:r>
      <w:r w:rsidR="00DF38B1">
        <w:t xml:space="preserve">constructive </w:t>
      </w:r>
      <w:r>
        <w:t>dealings with their retailer/wholesaler. At an industry</w:t>
      </w:r>
      <w:r w:rsidR="003E7DEA">
        <w:noBreakHyphen/>
      </w:r>
      <w:r>
        <w:t xml:space="preserve">wide level, the proportion of suppliers who indicated that they were always treated fairly and respectfully by the </w:t>
      </w:r>
      <w:r w:rsidDel="008D5492">
        <w:t>Code Signatories</w:t>
      </w:r>
      <w:r>
        <w:t xml:space="preserve"> has increased compared to last year. For three of the four </w:t>
      </w:r>
      <w:r w:rsidDel="008D5492">
        <w:t xml:space="preserve">Code </w:t>
      </w:r>
      <w:r w:rsidR="008D5492">
        <w:t>Signatories</w:t>
      </w:r>
      <w:r>
        <w:t>, this category received the highest proportion of responses from suppliers. The survey also highlighted that compared to last year</w:t>
      </w:r>
      <w:r w:rsidR="003E7DEA">
        <w:t>’</w:t>
      </w:r>
      <w:r>
        <w:t xml:space="preserve">s results, all </w:t>
      </w:r>
      <w:r w:rsidR="00FC7AA6">
        <w:t>Code Signatories</w:t>
      </w:r>
      <w:r>
        <w:t xml:space="preserve"> have improved </w:t>
      </w:r>
      <w:r w:rsidR="00251188">
        <w:t xml:space="preserve">their performance </w:t>
      </w:r>
      <w:r>
        <w:t xml:space="preserve">in </w:t>
      </w:r>
      <w:r w:rsidR="003E7DEA">
        <w:t>“</w:t>
      </w:r>
      <w:r>
        <w:t>always taking prompt, constructive action to resolve issues raised</w:t>
      </w:r>
      <w:r w:rsidR="003E7DEA">
        <w:t>”</w:t>
      </w:r>
      <w:r>
        <w:t>.</w:t>
      </w:r>
    </w:p>
    <w:p w14:paraId="41475F5B" w14:textId="791FD1A6" w:rsidR="00FD5127" w:rsidRDefault="00FD5127" w:rsidP="00FD5127">
      <w:r>
        <w:t xml:space="preserve">The results also indicate that </w:t>
      </w:r>
      <w:r w:rsidRPr="0037581A">
        <w:t>the proportion of suppliers who experience</w:t>
      </w:r>
      <w:r w:rsidR="004A5D62">
        <w:t>d</w:t>
      </w:r>
      <w:r w:rsidRPr="0037581A">
        <w:t xml:space="preserve"> issues is small </w:t>
      </w:r>
      <w:r>
        <w:t xml:space="preserve">in comparison to those that experienced no issues. </w:t>
      </w:r>
      <w:r w:rsidR="00D44895">
        <w:t xml:space="preserve">Overall, 67 per cent of the total 999 respondents to the survey indicated that they </w:t>
      </w:r>
      <w:r w:rsidR="003C1004">
        <w:t xml:space="preserve">did not experience </w:t>
      </w:r>
      <w:r w:rsidR="00D44895">
        <w:t>any issues with their retailer o</w:t>
      </w:r>
      <w:r w:rsidR="00DA2D4A">
        <w:t>r</w:t>
      </w:r>
      <w:r w:rsidR="00D44895">
        <w:t xml:space="preserve"> wholesaler during the 2021</w:t>
      </w:r>
      <w:r w:rsidR="00FC6590">
        <w:t>–</w:t>
      </w:r>
      <w:r w:rsidR="00D44895">
        <w:t xml:space="preserve">22 financial year. </w:t>
      </w:r>
    </w:p>
    <w:p w14:paraId="6C10734B" w14:textId="7B0C390B" w:rsidR="00F1044E" w:rsidRDefault="00FD5127" w:rsidP="00F1044E">
      <w:r>
        <w:t xml:space="preserve">The remainder of suppliers were able to identify one or multiple issues experienced, based on a list of 20 issues. </w:t>
      </w:r>
      <w:r w:rsidR="00201513">
        <w:t>However</w:t>
      </w:r>
      <w:r w:rsidR="009B644A">
        <w:t xml:space="preserve">, </w:t>
      </w:r>
      <w:r w:rsidR="005F73EC">
        <w:t xml:space="preserve">each </w:t>
      </w:r>
      <w:r w:rsidR="009B644A">
        <w:t>issue suppliers</w:t>
      </w:r>
      <w:r w:rsidR="005F73EC">
        <w:t xml:space="preserve"> reported having experienced </w:t>
      </w:r>
      <w:r w:rsidR="009B644A">
        <w:t>made up less than 8</w:t>
      </w:r>
      <w:r w:rsidR="005F73EC">
        <w:t> </w:t>
      </w:r>
      <w:r w:rsidR="009B644A">
        <w:t>per</w:t>
      </w:r>
      <w:r w:rsidR="005F73EC">
        <w:t> </w:t>
      </w:r>
      <w:r w:rsidR="009B644A">
        <w:t xml:space="preserve">cent </w:t>
      </w:r>
      <w:r w:rsidR="005F73EC">
        <w:t>of suppliers for each</w:t>
      </w:r>
      <w:r w:rsidR="009B644A">
        <w:t xml:space="preserve"> retailer/wholesaler.</w:t>
      </w:r>
      <w:r w:rsidR="00201513">
        <w:t xml:space="preserve"> </w:t>
      </w:r>
      <w:r w:rsidR="001E2EE4">
        <w:t>Additionally, a</w:t>
      </w:r>
      <w:r>
        <w:t>t an industry</w:t>
      </w:r>
      <w:r w:rsidR="003E7DEA">
        <w:noBreakHyphen/>
      </w:r>
      <w:r>
        <w:t xml:space="preserve">wide level, several issues experienced by suppliers </w:t>
      </w:r>
      <w:r w:rsidRPr="0037581A">
        <w:t>decreased</w:t>
      </w:r>
      <w:r>
        <w:t xml:space="preserve"> in the 2021</w:t>
      </w:r>
      <w:r w:rsidR="00FC6590">
        <w:t>–</w:t>
      </w:r>
      <w:r>
        <w:t>22 financial year compared to 2020</w:t>
      </w:r>
      <w:r w:rsidR="00FC6590">
        <w:t>–</w:t>
      </w:r>
      <w:r>
        <w:t>21</w:t>
      </w:r>
      <w:r w:rsidR="00F1178E">
        <w:t>,</w:t>
      </w:r>
      <w:r>
        <w:t xml:space="preserve"> </w:t>
      </w:r>
      <w:r w:rsidR="00F1178E">
        <w:t>for example, t</w:t>
      </w:r>
      <w:r>
        <w:t xml:space="preserve">here has been an overall improvement </w:t>
      </w:r>
      <w:r w:rsidR="00F1044E">
        <w:t>in terms of</w:t>
      </w:r>
      <w:r>
        <w:t xml:space="preserve"> </w:t>
      </w:r>
      <w:r w:rsidR="00F1178E">
        <w:t xml:space="preserve">Code Signatories making </w:t>
      </w:r>
      <w:r>
        <w:t>late payments</w:t>
      </w:r>
      <w:r w:rsidR="00F1044E">
        <w:t xml:space="preserve"> without supplier agreement</w:t>
      </w:r>
      <w:r>
        <w:t xml:space="preserve"> in 2021</w:t>
      </w:r>
      <w:r w:rsidR="00FC6590">
        <w:t>–</w:t>
      </w:r>
      <w:r>
        <w:t xml:space="preserve">22 compared to the previous year. </w:t>
      </w:r>
      <w:r w:rsidR="00F1044E">
        <w:t xml:space="preserve">The survey results also show a reduction in the proportion of suppliers reporting deductions off invoice or remittance without consent. </w:t>
      </w:r>
    </w:p>
    <w:p w14:paraId="336EC2BB" w14:textId="3F8F7F6A" w:rsidR="00FD5127" w:rsidRDefault="00FD5127" w:rsidP="00FD5127">
      <w:r>
        <w:t xml:space="preserve">Although the proportion of suppliers experiencing issues is small, it </w:t>
      </w:r>
      <w:r w:rsidR="00D8331E">
        <w:t xml:space="preserve">remains </w:t>
      </w:r>
      <w:r>
        <w:t xml:space="preserve">concerning to </w:t>
      </w:r>
      <w:r w:rsidR="00D8331E">
        <w:t>receive reports</w:t>
      </w:r>
      <w:r>
        <w:t xml:space="preserve"> that suppliers are experiencing </w:t>
      </w:r>
      <w:r w:rsidR="004A5D62">
        <w:t xml:space="preserve">late </w:t>
      </w:r>
      <w:r>
        <w:t xml:space="preserve">payments, deductions, and being required to fund promotions despite it being unreasonable in the circumstances. The current high inflation environment makes these issues </w:t>
      </w:r>
      <w:r w:rsidR="006B3537">
        <w:t xml:space="preserve">more </w:t>
      </w:r>
      <w:r>
        <w:t>challenging</w:t>
      </w:r>
      <w:r w:rsidR="00D8331E">
        <w:t xml:space="preserve"> for suppliers</w:t>
      </w:r>
      <w:r>
        <w:t xml:space="preserve">, especially for small businesses </w:t>
      </w:r>
      <w:r w:rsidR="00D8331E">
        <w:t xml:space="preserve">that may </w:t>
      </w:r>
      <w:r>
        <w:t xml:space="preserve">find it </w:t>
      </w:r>
      <w:r w:rsidR="006B3537">
        <w:t xml:space="preserve">difficult to </w:t>
      </w:r>
      <w:r>
        <w:t xml:space="preserve">maintain adequate cash flow. These supplier concerns warrant </w:t>
      </w:r>
      <w:r w:rsidR="00D8331E">
        <w:t xml:space="preserve">ongoing </w:t>
      </w:r>
      <w:r>
        <w:t xml:space="preserve">attention. </w:t>
      </w:r>
    </w:p>
    <w:p w14:paraId="296A751A" w14:textId="2A10CD8C" w:rsidR="003A2CDE" w:rsidRDefault="003A2CDE" w:rsidP="003A2CDE">
      <w:r>
        <w:t>Additionally, fear o</w:t>
      </w:r>
      <w:r w:rsidRPr="00866466">
        <w:t xml:space="preserve">f damaging a commercial relationship and fear of retribution were </w:t>
      </w:r>
      <w:r>
        <w:t xml:space="preserve">reported by suppliers to be </w:t>
      </w:r>
      <w:r w:rsidR="00C646F8">
        <w:t xml:space="preserve">the </w:t>
      </w:r>
      <w:r>
        <w:t>primary impediments to bringing a complaint to their retailer/wholesaler</w:t>
      </w:r>
      <w:r w:rsidR="003E7DEA">
        <w:t>’</w:t>
      </w:r>
      <w:r>
        <w:t xml:space="preserve">s buying team. </w:t>
      </w:r>
      <w:r w:rsidR="00466B07">
        <w:t xml:space="preserve">However, fear of retribution </w:t>
      </w:r>
      <w:r w:rsidR="00E44FB8">
        <w:t xml:space="preserve">has decreased as an impediment since last year. In </w:t>
      </w:r>
      <w:r>
        <w:t>the 2021</w:t>
      </w:r>
      <w:r w:rsidR="00FC6590">
        <w:t>–</w:t>
      </w:r>
      <w:r>
        <w:t>22 financial year, between 9 and 23 per cent of respondents considered fear of retribution to be an impediment to bringing a complaint to their retailer/wholesaler, compared with between 1</w:t>
      </w:r>
      <w:r w:rsidR="00FB0F11">
        <w:t>4</w:t>
      </w:r>
      <w:r>
        <w:t xml:space="preserve"> and 31</w:t>
      </w:r>
      <w:r w:rsidR="008C00BD">
        <w:t> </w:t>
      </w:r>
      <w:r>
        <w:t>per cent in the 2020</w:t>
      </w:r>
      <w:r w:rsidR="00FC6590">
        <w:t>–</w:t>
      </w:r>
      <w:r>
        <w:t xml:space="preserve">21 financial year. </w:t>
      </w:r>
    </w:p>
    <w:p w14:paraId="5DD6489C" w14:textId="59A5298A" w:rsidR="007425C2" w:rsidRDefault="00FD5127" w:rsidP="00FD5127">
      <w:r>
        <w:t xml:space="preserve">Overall, the results </w:t>
      </w:r>
      <w:r w:rsidR="00D8331E">
        <w:t>this year show healthy commercial relationships between the signatories and suppliers</w:t>
      </w:r>
      <w:r w:rsidR="00DC6ABA">
        <w:t xml:space="preserve"> and improvements in performance compared to last year.</w:t>
      </w:r>
      <w:r w:rsidR="00D8331E">
        <w:t xml:space="preserve"> </w:t>
      </w:r>
      <w:r w:rsidR="00DC6ABA">
        <w:t>H</w:t>
      </w:r>
      <w:r w:rsidR="00D8331E">
        <w:t xml:space="preserve">owever, there remain key areas for </w:t>
      </w:r>
      <w:r>
        <w:t>improvement</w:t>
      </w:r>
      <w:r w:rsidR="00DC6ABA">
        <w:t xml:space="preserve"> that can directly impact suppliers</w:t>
      </w:r>
      <w:r w:rsidR="003E7DEA">
        <w:t>’</w:t>
      </w:r>
      <w:r w:rsidR="00DC6ABA">
        <w:t xml:space="preserve"> cash flow and sustainability</w:t>
      </w:r>
      <w:r>
        <w:t xml:space="preserve">. </w:t>
      </w:r>
    </w:p>
    <w:p w14:paraId="3B314D7C" w14:textId="050B65A0" w:rsidR="00FD5127" w:rsidRDefault="00FD5127" w:rsidP="00FD5127">
      <w:r>
        <w:t xml:space="preserve">The </w:t>
      </w:r>
      <w:r w:rsidR="008D5492">
        <w:t>Code Signatories</w:t>
      </w:r>
      <w:r>
        <w:t xml:space="preserve"> will receive individual reports to enable them to see areas where they have improved from last year and other areas where there is room for</w:t>
      </w:r>
      <w:r w:rsidR="00DC6ABA">
        <w:t xml:space="preserve"> further</w:t>
      </w:r>
      <w:r>
        <w:t xml:space="preserve"> improvement </w:t>
      </w:r>
      <w:r w:rsidR="007425C2">
        <w:t>relative to their peers</w:t>
      </w:r>
      <w:r>
        <w:t xml:space="preserve">. </w:t>
      </w:r>
    </w:p>
    <w:p w14:paraId="47DDA976" w14:textId="4E6F2637" w:rsidR="00CE09A3" w:rsidRDefault="000B3252" w:rsidP="00816C2C">
      <w:pPr>
        <w:pStyle w:val="Heading1"/>
      </w:pPr>
      <w:r>
        <w:br w:type="column"/>
      </w:r>
      <w:bookmarkStart w:id="35" w:name="_Toc121996077"/>
      <w:r w:rsidR="00561602">
        <w:lastRenderedPageBreak/>
        <w:t xml:space="preserve">Changes to </w:t>
      </w:r>
      <w:r w:rsidR="00CE09A3">
        <w:t>the Code</w:t>
      </w:r>
      <w:r w:rsidR="004544D1">
        <w:t xml:space="preserve"> </w:t>
      </w:r>
      <w:r w:rsidR="005C4211">
        <w:t>r</w:t>
      </w:r>
      <w:r w:rsidR="00561602">
        <w:t xml:space="preserve">ecommended </w:t>
      </w:r>
      <w:r w:rsidR="004544D1">
        <w:t xml:space="preserve">by </w:t>
      </w:r>
      <w:r w:rsidR="00561602">
        <w:t>the</w:t>
      </w:r>
      <w:r w:rsidR="00816C2C">
        <w:t xml:space="preserve"> </w:t>
      </w:r>
      <w:r w:rsidR="004544D1">
        <w:t>Independent Reviewer</w:t>
      </w:r>
      <w:bookmarkEnd w:id="35"/>
      <w:r w:rsidR="004544D1">
        <w:t xml:space="preserve"> </w:t>
      </w:r>
    </w:p>
    <w:tbl>
      <w:tblPr>
        <w:tblStyle w:val="TableGrid"/>
        <w:tblW w:w="0" w:type="auto"/>
        <w:tblLook w:val="04A0" w:firstRow="1" w:lastRow="0" w:firstColumn="1" w:lastColumn="0" w:noHBand="0" w:noVBand="1"/>
      </w:tblPr>
      <w:tblGrid>
        <w:gridCol w:w="9072"/>
      </w:tblGrid>
      <w:tr w:rsidR="003D784B" w:rsidRPr="0085670A" w14:paraId="268EF486" w14:textId="77777777" w:rsidTr="003D784B">
        <w:tc>
          <w:tcPr>
            <w:tcW w:w="9072" w:type="dxa"/>
            <w:shd w:val="clear" w:color="auto" w:fill="185E7A" w:themeFill="accent2"/>
          </w:tcPr>
          <w:p w14:paraId="32A1E92F" w14:textId="772037BA" w:rsidR="003D784B" w:rsidRPr="003D3A6D" w:rsidRDefault="003D784B" w:rsidP="003D3A6D">
            <w:pPr>
              <w:pStyle w:val="BoxHeading"/>
              <w:rPr>
                <w:color w:val="FFFFFF" w:themeColor="background1"/>
              </w:rPr>
            </w:pPr>
            <w:r w:rsidRPr="003D3A6D">
              <w:rPr>
                <w:color w:val="FFFFFF" w:themeColor="background1"/>
              </w:rPr>
              <w:t>Key observations and suggestions</w:t>
            </w:r>
          </w:p>
          <w:p w14:paraId="4E9FA8D5" w14:textId="4514ACB8" w:rsidR="003D784B" w:rsidRPr="003D3A6D" w:rsidRDefault="003D784B" w:rsidP="003D3A6D">
            <w:pPr>
              <w:pStyle w:val="BoxText"/>
              <w:rPr>
                <w:color w:val="FFFFFF" w:themeColor="background1"/>
              </w:rPr>
            </w:pPr>
            <w:r w:rsidRPr="003D3A6D">
              <w:rPr>
                <w:color w:val="FFFFFF" w:themeColor="background1"/>
              </w:rPr>
              <w:t>Dealing with the Code over these past two years has provided me with a close</w:t>
            </w:r>
            <w:r w:rsidR="003E7DEA">
              <w:rPr>
                <w:color w:val="FFFFFF" w:themeColor="background1"/>
              </w:rPr>
              <w:noBreakHyphen/>
            </w:r>
            <w:r w:rsidRPr="003D3A6D">
              <w:rPr>
                <w:color w:val="FFFFFF" w:themeColor="background1"/>
              </w:rPr>
              <w:t xml:space="preserve">up view of what is working as envisaged, and what is not. Overall, the Code is working well and it is making a very significant contribution to a more respectful relationship between suppliers and </w:t>
            </w:r>
            <w:r w:rsidRPr="003D3A6D" w:rsidDel="008D5492">
              <w:rPr>
                <w:color w:val="FFFFFF" w:themeColor="background1"/>
              </w:rPr>
              <w:t>Code Signatories</w:t>
            </w:r>
            <w:r w:rsidRPr="003D3A6D">
              <w:rPr>
                <w:color w:val="FFFFFF" w:themeColor="background1"/>
              </w:rPr>
              <w:t xml:space="preserve">. Importantly, it appears to me that the costs of implementing the Code (training; assessment; compliance; etc) do not appear to be unreasonably onerous on the </w:t>
            </w:r>
            <w:r w:rsidRPr="003D3A6D" w:rsidDel="008D5492">
              <w:rPr>
                <w:color w:val="FFFFFF" w:themeColor="background1"/>
              </w:rPr>
              <w:t>Code Signatories</w:t>
            </w:r>
            <w:r w:rsidRPr="003D3A6D">
              <w:rPr>
                <w:color w:val="FFFFFF" w:themeColor="background1"/>
              </w:rPr>
              <w:t>.</w:t>
            </w:r>
          </w:p>
          <w:p w14:paraId="5E1CDB87" w14:textId="77777777" w:rsidR="003D784B" w:rsidRPr="003D3A6D" w:rsidRDefault="003D784B" w:rsidP="003D3A6D">
            <w:pPr>
              <w:pStyle w:val="BoxText"/>
              <w:rPr>
                <w:color w:val="FFFFFF" w:themeColor="background1"/>
              </w:rPr>
            </w:pPr>
            <w:r w:rsidRPr="003D3A6D">
              <w:rPr>
                <w:color w:val="FFFFFF" w:themeColor="background1"/>
              </w:rPr>
              <w:t>However, this year I was confronted with several deficiencies in the Code.</w:t>
            </w:r>
          </w:p>
          <w:p w14:paraId="141EB651" w14:textId="661572BB" w:rsidR="003D784B" w:rsidRPr="003D3A6D" w:rsidRDefault="003D784B" w:rsidP="003D3A6D">
            <w:pPr>
              <w:pStyle w:val="BoxText"/>
              <w:rPr>
                <w:color w:val="FFFFFF" w:themeColor="background1"/>
              </w:rPr>
            </w:pPr>
            <w:r w:rsidRPr="003D3A6D">
              <w:rPr>
                <w:color w:val="FFFFFF" w:themeColor="background1"/>
              </w:rPr>
              <w:t xml:space="preserve">Earlier this year I requested Coles to provide me access to the five </w:t>
            </w:r>
            <w:r w:rsidR="00F9650E" w:rsidRPr="003D3A6D">
              <w:rPr>
                <w:color w:val="FFFFFF" w:themeColor="background1"/>
              </w:rPr>
              <w:t xml:space="preserve">closed </w:t>
            </w:r>
            <w:r w:rsidRPr="003D3A6D">
              <w:rPr>
                <w:color w:val="FFFFFF" w:themeColor="background1"/>
              </w:rPr>
              <w:t>complaint files held by its Code Arbiter. Both Coles and its Code Arbiter declined access to those files</w:t>
            </w:r>
            <w:r w:rsidR="00F9650E" w:rsidRPr="003D3A6D">
              <w:rPr>
                <w:color w:val="FFFFFF" w:themeColor="background1"/>
              </w:rPr>
              <w:t xml:space="preserve"> on the grounds of supplier confidentiality, even though I agreed to have the confidential information redacted before my review</w:t>
            </w:r>
            <w:r w:rsidRPr="003D3A6D">
              <w:rPr>
                <w:color w:val="FFFFFF" w:themeColor="background1"/>
              </w:rPr>
              <w:t xml:space="preserve">. I believe this is a deficiency in the Code that should be rectified. </w:t>
            </w:r>
          </w:p>
          <w:p w14:paraId="794506F5" w14:textId="5BAF635B" w:rsidR="003D784B" w:rsidRPr="003D3A6D" w:rsidRDefault="003D784B" w:rsidP="003D3A6D">
            <w:pPr>
              <w:pStyle w:val="BoxText"/>
              <w:rPr>
                <w:color w:val="FFFFFF" w:themeColor="background1"/>
              </w:rPr>
            </w:pPr>
            <w:r w:rsidRPr="003D3A6D">
              <w:rPr>
                <w:color w:val="FFFFFF" w:themeColor="background1"/>
              </w:rPr>
              <w:t>Furthermore, during the year I conducted an independent review into a complaint against Coles and its Code Arbiter</w:t>
            </w:r>
            <w:r w:rsidR="00F9650E" w:rsidRPr="003D3A6D">
              <w:rPr>
                <w:color w:val="FFFFFF" w:themeColor="background1"/>
              </w:rPr>
              <w:t xml:space="preserve"> – as noted earlier in this report</w:t>
            </w:r>
            <w:r w:rsidRPr="003D3A6D">
              <w:rPr>
                <w:color w:val="FFFFFF" w:themeColor="background1"/>
              </w:rPr>
              <w:t>. I concluded that Coles had not complied with the Code, and the Code Arbiter</w:t>
            </w:r>
            <w:r w:rsidR="003E7DEA">
              <w:rPr>
                <w:color w:val="FFFFFF" w:themeColor="background1"/>
              </w:rPr>
              <w:t>’</w:t>
            </w:r>
            <w:r w:rsidRPr="003D3A6D">
              <w:rPr>
                <w:color w:val="FFFFFF" w:themeColor="background1"/>
              </w:rPr>
              <w:t>s process was flawed. My recommendations were forcefully rejected by the Coles</w:t>
            </w:r>
            <w:r w:rsidR="00C97A13" w:rsidRPr="003D3A6D">
              <w:rPr>
                <w:color w:val="FFFFFF" w:themeColor="background1"/>
              </w:rPr>
              <w:t xml:space="preserve"> </w:t>
            </w:r>
            <w:r w:rsidRPr="003D3A6D">
              <w:rPr>
                <w:color w:val="FFFFFF" w:themeColor="background1"/>
              </w:rPr>
              <w:t>Code Arbiter.</w:t>
            </w:r>
          </w:p>
          <w:p w14:paraId="6828D46C" w14:textId="4F5AE5EE" w:rsidR="003D784B" w:rsidRPr="003D3A6D" w:rsidRDefault="003D784B" w:rsidP="003D3A6D">
            <w:pPr>
              <w:pStyle w:val="BoxText"/>
              <w:rPr>
                <w:color w:val="FFFFFF" w:themeColor="background1"/>
              </w:rPr>
            </w:pPr>
            <w:r w:rsidRPr="003D3A6D">
              <w:rPr>
                <w:color w:val="FFFFFF" w:themeColor="background1"/>
              </w:rPr>
              <w:t xml:space="preserve">My conclusion, regrettably, is that Coles and its Code Arbiter are not acting in accordance with the spirit of a voluntary code. </w:t>
            </w:r>
            <w:r w:rsidR="00F9650E" w:rsidRPr="003D3A6D">
              <w:rPr>
                <w:color w:val="FFFFFF" w:themeColor="background1"/>
              </w:rPr>
              <w:t xml:space="preserve">I believe this </w:t>
            </w:r>
            <w:r w:rsidRPr="003D3A6D">
              <w:rPr>
                <w:color w:val="FFFFFF" w:themeColor="background1"/>
              </w:rPr>
              <w:t xml:space="preserve">highlights the weakness at the core of the current Code – specifically, that it is a voluntary undertaking with zero compliance penalties. </w:t>
            </w:r>
            <w:r w:rsidR="00F9650E" w:rsidRPr="003D3A6D">
              <w:rPr>
                <w:color w:val="FFFFFF" w:themeColor="background1"/>
              </w:rPr>
              <w:t xml:space="preserve">My observations of </w:t>
            </w:r>
            <w:r w:rsidRPr="003D3A6D">
              <w:rPr>
                <w:color w:val="FFFFFF" w:themeColor="background1"/>
              </w:rPr>
              <w:t xml:space="preserve">Coles and its Code Arbiter </w:t>
            </w:r>
            <w:r w:rsidR="0013097E" w:rsidRPr="003D3A6D">
              <w:rPr>
                <w:color w:val="FFFFFF" w:themeColor="background1"/>
              </w:rPr>
              <w:t xml:space="preserve">have caused me to conclude that </w:t>
            </w:r>
            <w:r w:rsidRPr="003D3A6D">
              <w:rPr>
                <w:color w:val="FFFFFF" w:themeColor="background1"/>
              </w:rPr>
              <w:t>changes to the Code</w:t>
            </w:r>
            <w:r w:rsidR="0013097E" w:rsidRPr="003D3A6D">
              <w:rPr>
                <w:color w:val="FFFFFF" w:themeColor="background1"/>
              </w:rPr>
              <w:t xml:space="preserve"> are necessary</w:t>
            </w:r>
            <w:r w:rsidRPr="003D3A6D">
              <w:rPr>
                <w:color w:val="FFFFFF" w:themeColor="background1"/>
              </w:rPr>
              <w:t>.</w:t>
            </w:r>
          </w:p>
          <w:p w14:paraId="016A10F9" w14:textId="77777777" w:rsidR="003D784B" w:rsidRPr="003D3A6D" w:rsidRDefault="003D784B" w:rsidP="003D3A6D">
            <w:pPr>
              <w:pStyle w:val="BoxText"/>
              <w:rPr>
                <w:color w:val="FFFFFF" w:themeColor="background1"/>
              </w:rPr>
            </w:pPr>
            <w:r w:rsidRPr="003D3A6D">
              <w:rPr>
                <w:color w:val="FFFFFF" w:themeColor="background1"/>
              </w:rPr>
              <w:t>I have outlined below four suggested key changes to strengthen the Code, and to ensure that suppliers have confidence that the Code is meaningful:</w:t>
            </w:r>
          </w:p>
          <w:p w14:paraId="5D19DCD9" w14:textId="38609031" w:rsidR="003D784B" w:rsidRPr="003D3A6D" w:rsidRDefault="003D784B" w:rsidP="003D3A6D">
            <w:pPr>
              <w:pStyle w:val="BoxBullet"/>
              <w:numPr>
                <w:ilvl w:val="0"/>
                <w:numId w:val="36"/>
              </w:numPr>
              <w:rPr>
                <w:color w:val="FFFFFF" w:themeColor="background1"/>
              </w:rPr>
            </w:pPr>
            <w:r w:rsidRPr="003D3A6D">
              <w:rPr>
                <w:color w:val="FFFFFF" w:themeColor="background1"/>
              </w:rPr>
              <w:t>change the Code to permit supplier concerns to be raised with Code Arbiters informally (i.e. not required to be in writing)</w:t>
            </w:r>
          </w:p>
          <w:p w14:paraId="443A5A1C" w14:textId="09A3AD08" w:rsidR="003D784B" w:rsidRPr="003D3A6D" w:rsidRDefault="003D784B" w:rsidP="003D3A6D">
            <w:pPr>
              <w:pStyle w:val="BoxBullet"/>
              <w:numPr>
                <w:ilvl w:val="0"/>
                <w:numId w:val="36"/>
              </w:numPr>
              <w:rPr>
                <w:color w:val="FFFFFF" w:themeColor="background1"/>
              </w:rPr>
            </w:pPr>
            <w:r w:rsidRPr="003D3A6D">
              <w:rPr>
                <w:color w:val="FFFFFF" w:themeColor="background1"/>
              </w:rPr>
              <w:t>authorise the Independent Reviewer to access the Code Arbiters</w:t>
            </w:r>
            <w:r w:rsidR="003E7DEA">
              <w:rPr>
                <w:color w:val="FFFFFF" w:themeColor="background1"/>
              </w:rPr>
              <w:t>’</w:t>
            </w:r>
            <w:r w:rsidRPr="003D3A6D">
              <w:rPr>
                <w:color w:val="FFFFFF" w:themeColor="background1"/>
              </w:rPr>
              <w:t xml:space="preserve"> complaint files to evaluate the adequacy and consistency of the Code Arbiters</w:t>
            </w:r>
            <w:r w:rsidR="003E7DEA">
              <w:rPr>
                <w:color w:val="FFFFFF" w:themeColor="background1"/>
              </w:rPr>
              <w:t>’</w:t>
            </w:r>
            <w:r w:rsidRPr="003D3A6D">
              <w:rPr>
                <w:color w:val="FFFFFF" w:themeColor="background1"/>
              </w:rPr>
              <w:t xml:space="preserve"> processes</w:t>
            </w:r>
          </w:p>
          <w:p w14:paraId="2D877B3F" w14:textId="0A4E3713" w:rsidR="003D3A6D" w:rsidRDefault="003D784B" w:rsidP="003D3A6D">
            <w:pPr>
              <w:pStyle w:val="BoxBullet"/>
              <w:numPr>
                <w:ilvl w:val="0"/>
                <w:numId w:val="36"/>
              </w:numPr>
              <w:rPr>
                <w:color w:val="FFFFFF" w:themeColor="background1"/>
              </w:rPr>
            </w:pPr>
            <w:r w:rsidRPr="003D3A6D">
              <w:rPr>
                <w:color w:val="FFFFFF" w:themeColor="background1"/>
              </w:rPr>
              <w:t>require the ACCC to conduct an investigation when requested by the Independent Reviewer</w:t>
            </w:r>
          </w:p>
          <w:p w14:paraId="59F852D7" w14:textId="4FCFD3D2" w:rsidR="003D784B" w:rsidRPr="003D3A6D" w:rsidRDefault="003D784B" w:rsidP="003D3A6D">
            <w:pPr>
              <w:pStyle w:val="BoxBullet"/>
              <w:numPr>
                <w:ilvl w:val="0"/>
                <w:numId w:val="36"/>
              </w:numPr>
              <w:rPr>
                <w:color w:val="FFFFFF" w:themeColor="background1"/>
              </w:rPr>
            </w:pPr>
            <w:r w:rsidRPr="003D3A6D">
              <w:rPr>
                <w:color w:val="FFFFFF" w:themeColor="background1"/>
              </w:rPr>
              <w:t>introduce financial penalties for material non</w:t>
            </w:r>
            <w:r w:rsidR="003E7DEA">
              <w:rPr>
                <w:color w:val="FFFFFF" w:themeColor="background1"/>
              </w:rPr>
              <w:noBreakHyphen/>
            </w:r>
            <w:r w:rsidRPr="003D3A6D">
              <w:rPr>
                <w:color w:val="FFFFFF" w:themeColor="background1"/>
              </w:rPr>
              <w:t>compliance with the Code.</w:t>
            </w:r>
          </w:p>
        </w:tc>
      </w:tr>
    </w:tbl>
    <w:p w14:paraId="4820B3C6" w14:textId="7216D758" w:rsidR="00852214" w:rsidRPr="00E926B8" w:rsidRDefault="000B3252" w:rsidP="00816C2C">
      <w:pPr>
        <w:pStyle w:val="Heading1"/>
      </w:pPr>
      <w:r>
        <w:br w:type="column"/>
      </w:r>
      <w:bookmarkStart w:id="36" w:name="_Toc121996078"/>
      <w:r w:rsidR="008B3D5D" w:rsidRPr="00E926B8">
        <w:lastRenderedPageBreak/>
        <w:t>Activities</w:t>
      </w:r>
      <w:r w:rsidR="00126B67" w:rsidRPr="00E926B8">
        <w:t xml:space="preserve"> planned for 2023</w:t>
      </w:r>
      <w:bookmarkEnd w:id="36"/>
    </w:p>
    <w:tbl>
      <w:tblPr>
        <w:tblStyle w:val="TableGrid"/>
        <w:tblW w:w="0" w:type="auto"/>
        <w:shd w:val="clear" w:color="auto" w:fill="185E7A" w:themeFill="accent2"/>
        <w:tblLook w:val="04A0" w:firstRow="1" w:lastRow="0" w:firstColumn="1" w:lastColumn="0" w:noHBand="0" w:noVBand="1"/>
      </w:tblPr>
      <w:tblGrid>
        <w:gridCol w:w="9072"/>
      </w:tblGrid>
      <w:tr w:rsidR="00221BE7" w14:paraId="0460BC3F" w14:textId="77777777" w:rsidTr="00221BE7">
        <w:tc>
          <w:tcPr>
            <w:tcW w:w="9072" w:type="dxa"/>
            <w:shd w:val="clear" w:color="auto" w:fill="185E7A" w:themeFill="accent2"/>
          </w:tcPr>
          <w:p w14:paraId="5725A94F" w14:textId="78B4E757" w:rsidR="00221BE7" w:rsidRPr="00852214" w:rsidRDefault="00221BE7" w:rsidP="00852214">
            <w:pPr>
              <w:pStyle w:val="BoxHeading"/>
              <w:rPr>
                <w:color w:val="FFFFFF" w:themeColor="background1"/>
              </w:rPr>
            </w:pPr>
            <w:r w:rsidRPr="00852214">
              <w:rPr>
                <w:color w:val="FFFFFF" w:themeColor="background1"/>
              </w:rPr>
              <w:t>Activities planned for 2023</w:t>
            </w:r>
          </w:p>
          <w:p w14:paraId="14B6AA00" w14:textId="4375FBA6" w:rsidR="00221BE7" w:rsidRPr="00852214" w:rsidRDefault="003E7DEA" w:rsidP="00852214">
            <w:pPr>
              <w:pStyle w:val="BoxText"/>
              <w:rPr>
                <w:color w:val="FFFFFF" w:themeColor="background1"/>
              </w:rPr>
            </w:pPr>
            <w:r>
              <w:rPr>
                <w:color w:val="FFFFFF" w:themeColor="background1"/>
              </w:rPr>
              <w:t>‘</w:t>
            </w:r>
            <w:r w:rsidR="00221BE7" w:rsidRPr="00852214">
              <w:rPr>
                <w:color w:val="FFFFFF" w:themeColor="background1"/>
              </w:rPr>
              <w:t>Deep Dives</w:t>
            </w:r>
            <w:r>
              <w:rPr>
                <w:color w:val="FFFFFF" w:themeColor="background1"/>
              </w:rPr>
              <w:t>’</w:t>
            </w:r>
            <w:r w:rsidR="00221BE7" w:rsidRPr="00852214">
              <w:rPr>
                <w:color w:val="FFFFFF" w:themeColor="background1"/>
              </w:rPr>
              <w:t xml:space="preserve"> with suppliers will continue to be a feature of my work to ensure suppliers have a confidential forum for providing candid feedback to the Independent Reviewer.</w:t>
            </w:r>
          </w:p>
          <w:p w14:paraId="3EA47F5E" w14:textId="1F644528" w:rsidR="00221BE7" w:rsidRPr="00852214" w:rsidRDefault="00221BE7" w:rsidP="00852214">
            <w:pPr>
              <w:pStyle w:val="BoxText"/>
              <w:rPr>
                <w:color w:val="FFFFFF" w:themeColor="background1"/>
              </w:rPr>
            </w:pPr>
            <w:r w:rsidRPr="00852214">
              <w:rPr>
                <w:color w:val="FFFFFF" w:themeColor="background1"/>
              </w:rPr>
              <w:t>I will be providing peer</w:t>
            </w:r>
            <w:r w:rsidR="003E7DEA">
              <w:rPr>
                <w:color w:val="FFFFFF" w:themeColor="background1"/>
              </w:rPr>
              <w:noBreakHyphen/>
            </w:r>
            <w:r w:rsidRPr="00852214">
              <w:rPr>
                <w:color w:val="FFFFFF" w:themeColor="background1"/>
              </w:rPr>
              <w:t>rankings to the CEO of each Code Signatory, and sharing with them (on a de</w:t>
            </w:r>
            <w:r w:rsidR="003E7DEA">
              <w:rPr>
                <w:color w:val="FFFFFF" w:themeColor="background1"/>
              </w:rPr>
              <w:noBreakHyphen/>
            </w:r>
            <w:r w:rsidRPr="00852214">
              <w:rPr>
                <w:color w:val="FFFFFF" w:themeColor="background1"/>
              </w:rPr>
              <w:t>identified basis) the views expressed to me by their suppliers.</w:t>
            </w:r>
          </w:p>
          <w:p w14:paraId="47B709EC" w14:textId="77777777" w:rsidR="00221BE7" w:rsidRPr="00852214" w:rsidRDefault="00221BE7" w:rsidP="00852214">
            <w:pPr>
              <w:pStyle w:val="BoxText"/>
              <w:rPr>
                <w:color w:val="FFFFFF" w:themeColor="background1"/>
              </w:rPr>
            </w:pPr>
            <w:r w:rsidRPr="00852214">
              <w:rPr>
                <w:color w:val="FFFFFF" w:themeColor="background1"/>
              </w:rPr>
              <w:t>A group meeting with the Code Arbiters will be scheduled in 2023.</w:t>
            </w:r>
          </w:p>
          <w:p w14:paraId="5404753B" w14:textId="77777777" w:rsidR="00221BE7" w:rsidRPr="00852214" w:rsidRDefault="00221BE7" w:rsidP="00852214">
            <w:pPr>
              <w:pStyle w:val="BoxText"/>
              <w:rPr>
                <w:color w:val="FFFFFF" w:themeColor="background1"/>
              </w:rPr>
            </w:pPr>
            <w:r w:rsidRPr="00852214">
              <w:rPr>
                <w:color w:val="FFFFFF" w:themeColor="background1"/>
              </w:rPr>
              <w:t>Raising the awareness, among suppliers, of the Code Arbiters and Independent Reviewer will continue to be a priority.</w:t>
            </w:r>
          </w:p>
          <w:p w14:paraId="4A1231BF" w14:textId="77777777" w:rsidR="00221BE7" w:rsidRPr="00852214" w:rsidRDefault="00221BE7" w:rsidP="00852214">
            <w:pPr>
              <w:pStyle w:val="BoxText"/>
              <w:rPr>
                <w:color w:val="FFFFFF" w:themeColor="background1"/>
              </w:rPr>
            </w:pPr>
            <w:r w:rsidRPr="00852214">
              <w:rPr>
                <w:color w:val="FFFFFF" w:themeColor="background1"/>
              </w:rPr>
              <w:t>I will continue to look for opportunities to engage with stakeholders at industry events.</w:t>
            </w:r>
          </w:p>
          <w:p w14:paraId="370B5A02" w14:textId="77777777" w:rsidR="00221BE7" w:rsidRPr="00852214" w:rsidRDefault="00221BE7" w:rsidP="00852214">
            <w:pPr>
              <w:pStyle w:val="BoxText"/>
              <w:rPr>
                <w:color w:val="FFFFFF" w:themeColor="background1"/>
              </w:rPr>
            </w:pPr>
            <w:r w:rsidRPr="00852214">
              <w:rPr>
                <w:color w:val="FFFFFF" w:themeColor="background1"/>
              </w:rPr>
              <w:t>I will continue to monitor for potentially systemic issues in the food and grocery sector that are relevant to the Code.</w:t>
            </w:r>
          </w:p>
          <w:p w14:paraId="4988CE9A" w14:textId="77777777" w:rsidR="00221BE7" w:rsidRPr="00852214" w:rsidRDefault="00221BE7" w:rsidP="00852214">
            <w:pPr>
              <w:pStyle w:val="BoxText"/>
              <w:rPr>
                <w:color w:val="FFFFFF" w:themeColor="background1"/>
              </w:rPr>
            </w:pPr>
            <w:r w:rsidRPr="00852214">
              <w:rPr>
                <w:color w:val="FFFFFF" w:themeColor="background1"/>
              </w:rPr>
              <w:t xml:space="preserve">I will be making a submission to the review of Part 5 of the Code, which is due to report early next year, and I will use the feedback provided to me through my consultations with suppliers, </w:t>
            </w:r>
            <w:r w:rsidRPr="00852214" w:rsidDel="008D5492">
              <w:rPr>
                <w:color w:val="FFFFFF" w:themeColor="background1"/>
              </w:rPr>
              <w:t>Code Signatories</w:t>
            </w:r>
            <w:r w:rsidRPr="00852214">
              <w:rPr>
                <w:color w:val="FFFFFF" w:themeColor="background1"/>
              </w:rPr>
              <w:t xml:space="preserve"> and Code Arbiters to inform my submission.</w:t>
            </w:r>
          </w:p>
          <w:p w14:paraId="57160F95" w14:textId="1B18470B" w:rsidR="00221BE7" w:rsidRDefault="00221BE7" w:rsidP="00852214">
            <w:pPr>
              <w:pStyle w:val="BoxText"/>
            </w:pPr>
            <w:r w:rsidRPr="00852214">
              <w:rPr>
                <w:color w:val="FFFFFF" w:themeColor="background1"/>
              </w:rPr>
              <w:t>There will be a third annual survey</w:t>
            </w:r>
            <w:r w:rsidR="00C97A13" w:rsidRPr="00852214">
              <w:rPr>
                <w:color w:val="FFFFFF" w:themeColor="background1"/>
              </w:rPr>
              <w:t xml:space="preserve"> </w:t>
            </w:r>
            <w:r w:rsidRPr="00852214">
              <w:rPr>
                <w:color w:val="FFFFFF" w:themeColor="background1"/>
              </w:rPr>
              <w:t xml:space="preserve">of suppliers and </w:t>
            </w:r>
            <w:r w:rsidRPr="00852214" w:rsidDel="008D5492">
              <w:rPr>
                <w:color w:val="FFFFFF" w:themeColor="background1"/>
              </w:rPr>
              <w:t>Code Signatories</w:t>
            </w:r>
            <w:r w:rsidRPr="00852214">
              <w:rPr>
                <w:color w:val="FFFFFF" w:themeColor="background1"/>
              </w:rPr>
              <w:t>.</w:t>
            </w:r>
          </w:p>
        </w:tc>
      </w:tr>
    </w:tbl>
    <w:p w14:paraId="7EA89FB2" w14:textId="77777777" w:rsidR="00221BE7" w:rsidRDefault="00221BE7" w:rsidP="00E508C4"/>
    <w:p w14:paraId="45731F91" w14:textId="34C497A0" w:rsidR="003225C8" w:rsidRDefault="003225C8" w:rsidP="004A1035"/>
    <w:sectPr w:rsidR="003225C8" w:rsidSect="00EC236D">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0369E" w14:textId="77777777" w:rsidR="00EC6D57" w:rsidRDefault="00EC6D57">
      <w:pPr>
        <w:spacing w:before="0" w:after="0"/>
      </w:pPr>
      <w:r>
        <w:separator/>
      </w:r>
    </w:p>
  </w:endnote>
  <w:endnote w:type="continuationSeparator" w:id="0">
    <w:p w14:paraId="68DE387B" w14:textId="77777777" w:rsidR="00EC6D57" w:rsidRDefault="00EC6D57">
      <w:pPr>
        <w:spacing w:before="0" w:after="0"/>
      </w:pPr>
      <w:r>
        <w:continuationSeparator/>
      </w:r>
    </w:p>
  </w:endnote>
  <w:endnote w:type="continuationNotice" w:id="1">
    <w:p w14:paraId="48D79CA7" w14:textId="77777777" w:rsidR="00EC6D57" w:rsidRDefault="00EC6D5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4A73" w14:textId="77777777" w:rsidR="00EF145E" w:rsidRPr="00E77C89" w:rsidRDefault="00EF145E" w:rsidP="00EE1447">
    <w:pPr>
      <w:pStyle w:val="FooterEven"/>
    </w:pPr>
    <w:r>
      <w:fldChar w:fldCharType="begin"/>
    </w:r>
    <w:r>
      <w:instrText xml:space="preserve"> PAGE  \* Arabic  \* MERGEFORMAT </w:instrText>
    </w:r>
    <w:r>
      <w:fldChar w:fldCharType="separate"/>
    </w:r>
    <w:r w:rsidR="00DC6379">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B3103" w14:textId="200CD655" w:rsidR="008836FB" w:rsidRDefault="008836FB" w:rsidP="008836FB">
    <w:pPr>
      <w:pStyle w:val="Footer"/>
    </w:pPr>
    <w:r w:rsidRPr="008836FB">
      <w:t xml:space="preserve">Food and Grocery Code Independent Reviewer </w:t>
    </w:r>
    <w:r w:rsidRPr="008836FB">
      <w:rPr>
        <w:b/>
        <w:bCs/>
      </w:rPr>
      <w:t>Annual Report</w:t>
    </w:r>
    <w:r w:rsidRPr="008836FB">
      <w:t xml:space="preserve"> 202</w:t>
    </w:r>
    <w:r>
      <w:t>1–</w:t>
    </w:r>
    <w:r w:rsidRPr="008836FB">
      <w:t>2</w:t>
    </w:r>
    <w:r>
      <w:t>2</w:t>
    </w:r>
    <w:r w:rsidRPr="008836FB">
      <w:t xml:space="preserve"> </w:t>
    </w:r>
    <w:r w:rsidRPr="008836FB">
      <w:tab/>
    </w:r>
    <w:r w:rsidRPr="008836FB">
      <w:fldChar w:fldCharType="begin"/>
    </w:r>
    <w:r w:rsidRPr="008836FB">
      <w:instrText xml:space="preserve"> PAGE   \* MERGEFORMAT </w:instrText>
    </w:r>
    <w:r w:rsidRPr="008836FB">
      <w:fldChar w:fldCharType="separate"/>
    </w:r>
    <w:r w:rsidRPr="008836FB">
      <w:t>ii</w:t>
    </w:r>
    <w:r w:rsidRPr="008836F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231D1" w14:textId="77777777" w:rsidR="00EC6D57" w:rsidRDefault="00EC6D57">
      <w:pPr>
        <w:spacing w:before="0" w:after="0"/>
      </w:pPr>
      <w:r>
        <w:separator/>
      </w:r>
    </w:p>
  </w:footnote>
  <w:footnote w:type="continuationSeparator" w:id="0">
    <w:p w14:paraId="0E5E9ECF" w14:textId="77777777" w:rsidR="00EC6D57" w:rsidRDefault="00EC6D57">
      <w:pPr>
        <w:spacing w:before="0" w:after="0"/>
      </w:pPr>
      <w:r>
        <w:continuationSeparator/>
      </w:r>
    </w:p>
  </w:footnote>
  <w:footnote w:type="continuationNotice" w:id="1">
    <w:p w14:paraId="7B0992DF" w14:textId="77777777" w:rsidR="00EC6D57" w:rsidRDefault="00EC6D57">
      <w:pPr>
        <w:spacing w:before="0" w:after="0"/>
      </w:pPr>
    </w:p>
  </w:footnote>
  <w:footnote w:id="2">
    <w:p w14:paraId="74BBCAD3" w14:textId="372C601C" w:rsidR="003B5853" w:rsidRPr="004238BB" w:rsidRDefault="00424FD7" w:rsidP="005505D7">
      <w:pPr>
        <w:pStyle w:val="FootnoteText"/>
        <w:ind w:left="284" w:hanging="284"/>
      </w:pPr>
      <w:r w:rsidRPr="004238BB">
        <w:rPr>
          <w:rStyle w:val="FootnoteReference"/>
          <w:vertAlign w:val="baseline"/>
        </w:rPr>
        <w:footnoteRef/>
      </w:r>
      <w:r w:rsidR="003B5853" w:rsidRPr="004238BB">
        <w:t xml:space="preserve"> </w:t>
      </w:r>
      <w:r w:rsidR="005505D7">
        <w:tab/>
      </w:r>
      <w:r w:rsidR="003B5853" w:rsidRPr="004238BB">
        <w:t>Food and Grocery Code of Conduct Review 2022</w:t>
      </w:r>
      <w:r w:rsidR="00FC6590" w:rsidRPr="004238BB">
        <w:t>–</w:t>
      </w:r>
      <w:r w:rsidR="003B5853" w:rsidRPr="004238BB">
        <w:t xml:space="preserve">23, </w:t>
      </w:r>
      <w:hyperlink r:id="rId1" w:history="1">
        <w:r w:rsidR="00885FC8">
          <w:rPr>
            <w:rStyle w:val="Hyperlink"/>
          </w:rPr>
          <w:t>https://treasury.gov.au/review/food</w:t>
        </w:r>
        <w:r w:rsidR="00885FC8">
          <w:rPr>
            <w:rStyle w:val="Hyperlink"/>
          </w:rPr>
          <w:noBreakHyphen/>
          <w:t>and</w:t>
        </w:r>
        <w:r w:rsidR="00885FC8">
          <w:rPr>
            <w:rStyle w:val="Hyperlink"/>
          </w:rPr>
          <w:noBreakHyphen/>
          <w:t>grocery</w:t>
        </w:r>
        <w:r w:rsidR="00885FC8">
          <w:rPr>
            <w:rStyle w:val="Hyperlink"/>
          </w:rPr>
          <w:noBreakHyphen/>
          <w:t>code</w:t>
        </w:r>
        <w:r w:rsidR="00885FC8">
          <w:rPr>
            <w:rStyle w:val="Hyperlink"/>
          </w:rPr>
          <w:noBreakHyphen/>
          <w:t>of</w:t>
        </w:r>
        <w:r w:rsidR="00885FC8">
          <w:rPr>
            <w:rStyle w:val="Hyperlink"/>
          </w:rPr>
          <w:noBreakHyphen/>
          <w:t>conduct</w:t>
        </w:r>
        <w:r w:rsidR="00885FC8">
          <w:rPr>
            <w:rStyle w:val="Hyperlink"/>
          </w:rPr>
          <w:noBreakHyphen/>
          <w:t>review</w:t>
        </w:r>
        <w:r w:rsidR="00885FC8">
          <w:rPr>
            <w:rStyle w:val="Hyperlink"/>
          </w:rPr>
          <w:noBreakHyphen/>
          <w:t>2022</w:t>
        </w:r>
      </w:hyperlink>
      <w:r w:rsidR="003B5853" w:rsidRPr="004238BB">
        <w:t xml:space="preserve">. </w:t>
      </w:r>
    </w:p>
  </w:footnote>
  <w:footnote w:id="3">
    <w:p w14:paraId="594FA96A" w14:textId="37EFCB00" w:rsidR="00DA5B32" w:rsidRDefault="00424FD7" w:rsidP="005505D7">
      <w:pPr>
        <w:pStyle w:val="FootnoteText"/>
        <w:ind w:left="284" w:hanging="284"/>
      </w:pPr>
      <w:r w:rsidRPr="004238BB">
        <w:rPr>
          <w:rStyle w:val="FootnoteReference"/>
          <w:vertAlign w:val="baseline"/>
        </w:rPr>
        <w:footnoteRef/>
      </w:r>
      <w:r w:rsidR="00DA5B32" w:rsidRPr="004238BB">
        <w:t xml:space="preserve"> </w:t>
      </w:r>
      <w:r w:rsidR="005505D7">
        <w:tab/>
      </w:r>
      <w:r w:rsidR="00DA5B32" w:rsidRPr="004238BB">
        <w:t>Ibid, p 8.</w:t>
      </w:r>
    </w:p>
  </w:footnote>
  <w:footnote w:id="4">
    <w:p w14:paraId="256DDBA2" w14:textId="2F8034F1" w:rsidR="00E51523" w:rsidRDefault="00424FD7" w:rsidP="005505D7">
      <w:pPr>
        <w:pStyle w:val="FootnoteText"/>
        <w:ind w:left="284" w:hanging="284"/>
      </w:pPr>
      <w:r w:rsidRPr="00424FD7">
        <w:rPr>
          <w:rStyle w:val="FootnoteReference"/>
          <w:vertAlign w:val="baseline"/>
        </w:rPr>
        <w:footnoteRef/>
      </w:r>
      <w:r w:rsidR="00E51523">
        <w:t xml:space="preserve"> </w:t>
      </w:r>
      <w:r w:rsidR="005505D7">
        <w:tab/>
      </w:r>
      <w:r w:rsidR="00E51523">
        <w:t>IBISWorld, Industry Report G4111: Supermarkets and grocery stores in Australia,</w:t>
      </w:r>
      <w:r w:rsidR="00E51523" w:rsidRPr="00762B82">
        <w:t xml:space="preserve"> Stockpiling: COVID</w:t>
      </w:r>
      <w:r w:rsidR="003E7DEA">
        <w:noBreakHyphen/>
      </w:r>
      <w:r w:rsidR="00E51523" w:rsidRPr="00762B82">
        <w:t>19 outbreaks have aided industry demand and revenue growth</w:t>
      </w:r>
      <w:r w:rsidR="00E51523">
        <w:t xml:space="preserve">, Mar 2022, p 7. </w:t>
      </w:r>
    </w:p>
  </w:footnote>
  <w:footnote w:id="5">
    <w:p w14:paraId="518EB1EF" w14:textId="79E23371" w:rsidR="00762B82" w:rsidRDefault="00424FD7" w:rsidP="005505D7">
      <w:pPr>
        <w:pStyle w:val="FootnoteText"/>
        <w:ind w:left="284" w:hanging="284"/>
      </w:pPr>
      <w:r w:rsidRPr="00424FD7">
        <w:rPr>
          <w:rStyle w:val="FootnoteReference"/>
          <w:vertAlign w:val="baseline"/>
        </w:rPr>
        <w:footnoteRef/>
      </w:r>
      <w:r w:rsidR="00762B82">
        <w:t xml:space="preserve"> </w:t>
      </w:r>
      <w:r w:rsidR="005505D7">
        <w:tab/>
      </w:r>
      <w:r w:rsidR="00762B82">
        <w:t>IBISWorld, Industry Report G4111: Supermarkets and grocery stores in Australia,</w:t>
      </w:r>
      <w:r w:rsidR="00762B82" w:rsidRPr="00762B82">
        <w:t xml:space="preserve"> Stockpiling: COVID</w:t>
      </w:r>
      <w:r w:rsidR="003E7DEA">
        <w:noBreakHyphen/>
      </w:r>
      <w:r w:rsidR="00762B82" w:rsidRPr="00762B82">
        <w:t>19 outbreaks have aided industry demand and revenue growth</w:t>
      </w:r>
      <w:r w:rsidR="00762B82">
        <w:t xml:space="preserve">, Mar 2022, p 7. </w:t>
      </w:r>
    </w:p>
  </w:footnote>
  <w:footnote w:id="6">
    <w:p w14:paraId="6BD8F274" w14:textId="6860735D" w:rsidR="00691AD7" w:rsidRDefault="00424FD7" w:rsidP="005505D7">
      <w:pPr>
        <w:pStyle w:val="FootnoteText"/>
        <w:ind w:left="284" w:hanging="284"/>
      </w:pPr>
      <w:r w:rsidRPr="00424FD7">
        <w:rPr>
          <w:rStyle w:val="FootnoteReference"/>
          <w:vertAlign w:val="baseline"/>
        </w:rPr>
        <w:footnoteRef/>
      </w:r>
      <w:r w:rsidR="00691AD7">
        <w:t xml:space="preserve"> </w:t>
      </w:r>
      <w:r w:rsidR="005505D7">
        <w:tab/>
      </w:r>
      <w:r w:rsidR="00691AD7">
        <w:t>Australian Food and Grocery Council,</w:t>
      </w:r>
      <w:r w:rsidR="00691AD7" w:rsidRPr="00691AD7">
        <w:t xml:space="preserve"> </w:t>
      </w:r>
      <w:r w:rsidR="00691AD7" w:rsidRPr="00691AD7">
        <w:rPr>
          <w:i/>
          <w:iCs/>
        </w:rPr>
        <w:t>Food and grocery manufacturing holds strength despite pandemic stress</w:t>
      </w:r>
      <w:r w:rsidR="00691AD7">
        <w:t>,</w:t>
      </w:r>
      <w:r w:rsidR="00885FC8">
        <w:t> </w:t>
      </w:r>
      <w:hyperlink r:id="rId2" w:history="1">
        <w:r w:rsidR="00885FC8" w:rsidRPr="00FB6921">
          <w:rPr>
            <w:rStyle w:val="Hyperlink"/>
          </w:rPr>
          <w:t>https://www.afgc.org.au/news</w:t>
        </w:r>
        <w:r w:rsidR="00885FC8" w:rsidRPr="00FB6921">
          <w:rPr>
            <w:rStyle w:val="Hyperlink"/>
          </w:rPr>
          <w:noBreakHyphen/>
          <w:t>and</w:t>
        </w:r>
        <w:r w:rsidR="00885FC8" w:rsidRPr="00FB6921">
          <w:rPr>
            <w:rStyle w:val="Hyperlink"/>
          </w:rPr>
          <w:noBreakHyphen/>
          <w:t>media/2022/08/food</w:t>
        </w:r>
        <w:r w:rsidR="00885FC8" w:rsidRPr="00FB6921">
          <w:rPr>
            <w:rStyle w:val="Hyperlink"/>
          </w:rPr>
          <w:noBreakHyphen/>
          <w:t>and</w:t>
        </w:r>
        <w:r w:rsidR="00885FC8" w:rsidRPr="00FB6921">
          <w:rPr>
            <w:rStyle w:val="Hyperlink"/>
          </w:rPr>
          <w:noBreakHyphen/>
          <w:t>grocery</w:t>
        </w:r>
        <w:r w:rsidR="00885FC8" w:rsidRPr="00FB6921">
          <w:rPr>
            <w:rStyle w:val="Hyperlink"/>
          </w:rPr>
          <w:noBreakHyphen/>
          <w:t>manufacturing</w:t>
        </w:r>
        <w:r w:rsidR="00885FC8" w:rsidRPr="00FB6921">
          <w:rPr>
            <w:rStyle w:val="Hyperlink"/>
          </w:rPr>
          <w:noBreakHyphen/>
          <w:t>holds</w:t>
        </w:r>
        <w:r w:rsidR="00885FC8" w:rsidRPr="00FB6921">
          <w:rPr>
            <w:rStyle w:val="Hyperlink"/>
          </w:rPr>
          <w:noBreakHyphen/>
          <w:t>strength</w:t>
        </w:r>
        <w:r w:rsidR="00885FC8" w:rsidRPr="00FB6921">
          <w:rPr>
            <w:rStyle w:val="Hyperlink"/>
          </w:rPr>
          <w:noBreakHyphen/>
          <w:t>despite</w:t>
        </w:r>
        <w:r w:rsidR="00885FC8" w:rsidRPr="00FB6921">
          <w:rPr>
            <w:rStyle w:val="Hyperlink"/>
          </w:rPr>
          <w:noBreakHyphen/>
          <w:t>pandemic</w:t>
        </w:r>
        <w:r w:rsidR="00885FC8" w:rsidRPr="00FB6921">
          <w:rPr>
            <w:rStyle w:val="Hyperlink"/>
          </w:rPr>
          <w:noBreakHyphen/>
          <w:t>stress</w:t>
        </w:r>
      </w:hyperlink>
      <w:r w:rsidR="00691AD7">
        <w:t xml:space="preserve">, </w:t>
      </w:r>
      <w:r w:rsidR="00524CE8">
        <w:t xml:space="preserve">15 August 2022, </w:t>
      </w:r>
      <w:r w:rsidR="00691AD7">
        <w:t>(accessed 7 November 2022).</w:t>
      </w:r>
    </w:p>
  </w:footnote>
  <w:footnote w:id="7">
    <w:p w14:paraId="4BC65114" w14:textId="0C969AFE" w:rsidR="00AA2EC7" w:rsidRDefault="00424FD7" w:rsidP="005505D7">
      <w:pPr>
        <w:pStyle w:val="FootnoteText"/>
        <w:ind w:left="284" w:hanging="284"/>
      </w:pPr>
      <w:r w:rsidRPr="00424FD7">
        <w:rPr>
          <w:rStyle w:val="FootnoteReference"/>
          <w:vertAlign w:val="baseline"/>
        </w:rPr>
        <w:footnoteRef/>
      </w:r>
      <w:r w:rsidR="00AA2EC7">
        <w:t xml:space="preserve"> </w:t>
      </w:r>
      <w:r w:rsidR="005505D7">
        <w:tab/>
      </w:r>
      <w:r w:rsidR="00AA2EC7">
        <w:t>Woolworths Code Arbiter Report</w:t>
      </w:r>
      <w:r w:rsidR="004C4857">
        <w:t xml:space="preserve">, </w:t>
      </w:r>
      <w:hyperlink r:id="rId3" w:history="1">
        <w:r w:rsidR="004C4857" w:rsidRPr="004B5A5E">
          <w:rPr>
            <w:rStyle w:val="Hyperlink"/>
          </w:rPr>
          <w:t>https://grocerycodereviewer.gov.au/code</w:t>
        </w:r>
        <w:r w:rsidR="003E7DEA">
          <w:rPr>
            <w:rStyle w:val="Hyperlink"/>
          </w:rPr>
          <w:noBreakHyphen/>
        </w:r>
        <w:r w:rsidR="004C4857" w:rsidRPr="004B5A5E">
          <w:rPr>
            <w:rStyle w:val="Hyperlink"/>
          </w:rPr>
          <w:t>arbiter/woolworths</w:t>
        </w:r>
      </w:hyperlink>
      <w:r w:rsidR="004C4857">
        <w:t>, pp. 1</w:t>
      </w:r>
      <w:r w:rsidR="003E7DEA">
        <w:noBreakHyphen/>
      </w:r>
      <w:r w:rsidR="004C4857">
        <w:t>5</w:t>
      </w:r>
      <w:r w:rsidR="00172AB0">
        <w:t>.</w:t>
      </w:r>
      <w:r w:rsidR="00CD7750">
        <w:t xml:space="preserve"> </w:t>
      </w:r>
      <w:r w:rsidR="00172AB0">
        <w:t>T</w:t>
      </w:r>
      <w:r w:rsidR="00CD7750">
        <w:t>he report identified one matter that is not in scope for the Code</w:t>
      </w:r>
      <w:r w:rsidR="00BB1CE9">
        <w:t>.</w:t>
      </w:r>
    </w:p>
  </w:footnote>
  <w:footnote w:id="8">
    <w:p w14:paraId="607BA7BD" w14:textId="24767496" w:rsidR="00B11B27" w:rsidRDefault="00424FD7" w:rsidP="005505D7">
      <w:pPr>
        <w:pStyle w:val="FootnoteText"/>
        <w:ind w:left="284" w:hanging="284"/>
      </w:pPr>
      <w:r w:rsidRPr="00424FD7">
        <w:rPr>
          <w:rStyle w:val="FootnoteReference"/>
          <w:vertAlign w:val="baseline"/>
        </w:rPr>
        <w:footnoteRef/>
      </w:r>
      <w:r w:rsidR="00B61DE1">
        <w:t xml:space="preserve"> </w:t>
      </w:r>
      <w:r w:rsidR="005505D7">
        <w:tab/>
      </w:r>
      <w:r w:rsidR="00B61DE1">
        <w:t>There was one complaint reported in Woolworths</w:t>
      </w:r>
      <w:r w:rsidR="00B11B27">
        <w:t xml:space="preserve"> Code Arbiter</w:t>
      </w:r>
      <w:r w:rsidR="003E7DEA">
        <w:t>’</w:t>
      </w:r>
      <w:r w:rsidR="00B61DE1">
        <w:t>s 2020</w:t>
      </w:r>
      <w:r w:rsidR="003E7DEA">
        <w:noBreakHyphen/>
      </w:r>
      <w:r w:rsidR="00B61DE1">
        <w:t>21 annual report; however, there was some doubt a</w:t>
      </w:r>
      <w:r w:rsidR="001B5701">
        <w:t>s to whether this should be counted given the c</w:t>
      </w:r>
      <w:r w:rsidR="00B61DE1">
        <w:t>onduct occurred prior to the Code Arbiter</w:t>
      </w:r>
      <w:r w:rsidR="003E7DEA">
        <w:t>’</w:t>
      </w:r>
      <w:r w:rsidR="00B61DE1">
        <w:t xml:space="preserve">s appointment and commencement. </w:t>
      </w:r>
    </w:p>
  </w:footnote>
  <w:footnote w:id="9">
    <w:p w14:paraId="449B4031" w14:textId="6BAD4DB2" w:rsidR="00AA2EC7" w:rsidRDefault="00424FD7" w:rsidP="005505D7">
      <w:pPr>
        <w:pStyle w:val="FootnoteText"/>
        <w:ind w:left="284" w:hanging="284"/>
      </w:pPr>
      <w:r w:rsidRPr="00424FD7">
        <w:rPr>
          <w:rStyle w:val="FootnoteReference"/>
          <w:vertAlign w:val="baseline"/>
        </w:rPr>
        <w:footnoteRef/>
      </w:r>
      <w:r w:rsidR="00AA2EC7">
        <w:t xml:space="preserve"> </w:t>
      </w:r>
      <w:r w:rsidR="005505D7">
        <w:tab/>
      </w:r>
      <w:r w:rsidR="00AA2EC7">
        <w:t>Coles Code Arbiter Report</w:t>
      </w:r>
      <w:r w:rsidR="00106BAC">
        <w:t xml:space="preserve">, </w:t>
      </w:r>
      <w:hyperlink r:id="rId4" w:history="1">
        <w:r w:rsidR="00106BAC" w:rsidRPr="004B5A5E">
          <w:rPr>
            <w:rStyle w:val="Hyperlink"/>
          </w:rPr>
          <w:t>https://grocerycodereviewer.gov.au/code</w:t>
        </w:r>
        <w:r w:rsidR="003E7DEA">
          <w:rPr>
            <w:rStyle w:val="Hyperlink"/>
          </w:rPr>
          <w:noBreakHyphen/>
        </w:r>
        <w:r w:rsidR="00106BAC" w:rsidRPr="004B5A5E">
          <w:rPr>
            <w:rStyle w:val="Hyperlink"/>
          </w:rPr>
          <w:t>arbiter/coles</w:t>
        </w:r>
      </w:hyperlink>
      <w:r w:rsidR="00106BAC">
        <w:t>, pp. 1</w:t>
      </w:r>
      <w:r w:rsidR="003E7DEA">
        <w:noBreakHyphen/>
      </w:r>
      <w:r w:rsidR="00106BAC">
        <w:t>3.</w:t>
      </w:r>
    </w:p>
  </w:footnote>
  <w:footnote w:id="10">
    <w:p w14:paraId="6C1B106E" w14:textId="4A45B656" w:rsidR="00AA2EC7" w:rsidRDefault="00424FD7" w:rsidP="005505D7">
      <w:pPr>
        <w:pStyle w:val="FootnoteText"/>
        <w:ind w:left="284" w:hanging="284"/>
      </w:pPr>
      <w:r w:rsidRPr="00424FD7">
        <w:rPr>
          <w:rStyle w:val="FootnoteReference"/>
          <w:vertAlign w:val="baseline"/>
        </w:rPr>
        <w:footnoteRef/>
      </w:r>
      <w:r w:rsidR="00AA2EC7">
        <w:t xml:space="preserve"> </w:t>
      </w:r>
      <w:r w:rsidR="005505D7">
        <w:tab/>
      </w:r>
      <w:r w:rsidR="00AA2EC7">
        <w:t>Metcash Code Arbiter Report</w:t>
      </w:r>
      <w:r w:rsidR="00106BAC">
        <w:t xml:space="preserve">, </w:t>
      </w:r>
      <w:hyperlink r:id="rId5" w:history="1">
        <w:r w:rsidR="00630583">
          <w:rPr>
            <w:rStyle w:val="Hyperlink"/>
          </w:rPr>
          <w:t>https://grocerycodereviewer.gov.au/code</w:t>
        </w:r>
        <w:r w:rsidR="003E7DEA">
          <w:rPr>
            <w:rStyle w:val="Hyperlink"/>
          </w:rPr>
          <w:noBreakHyphen/>
        </w:r>
        <w:r w:rsidR="00630583">
          <w:rPr>
            <w:rStyle w:val="Hyperlink"/>
          </w:rPr>
          <w:t>arbiter/metcash</w:t>
        </w:r>
      </w:hyperlink>
      <w:r w:rsidR="00630583">
        <w:t>, pp. 1</w:t>
      </w:r>
      <w:r w:rsidR="003E7DEA">
        <w:noBreakHyphen/>
      </w:r>
      <w:r w:rsidR="00630583">
        <w:t>4.</w:t>
      </w:r>
    </w:p>
  </w:footnote>
  <w:footnote w:id="11">
    <w:p w14:paraId="3A0601FC" w14:textId="597F471B" w:rsidR="00AA2EC7" w:rsidRPr="00106BAC" w:rsidRDefault="00424FD7" w:rsidP="005505D7">
      <w:pPr>
        <w:pStyle w:val="FootnoteText"/>
        <w:ind w:left="284" w:hanging="284"/>
      </w:pPr>
      <w:r w:rsidRPr="00424FD7">
        <w:rPr>
          <w:rStyle w:val="FootnoteReference"/>
          <w:vertAlign w:val="baseline"/>
        </w:rPr>
        <w:footnoteRef/>
      </w:r>
      <w:r w:rsidR="00AA2EC7">
        <w:t xml:space="preserve"> </w:t>
      </w:r>
      <w:r w:rsidR="005505D7">
        <w:tab/>
      </w:r>
      <w:r w:rsidR="00AA2EC7">
        <w:t>Aldi Code Arbiter Report</w:t>
      </w:r>
      <w:r w:rsidR="00106BAC">
        <w:t>,</w:t>
      </w:r>
      <w:r w:rsidR="004C4857" w:rsidRPr="004C4857">
        <w:t xml:space="preserve"> </w:t>
      </w:r>
      <w:hyperlink r:id="rId6" w:history="1">
        <w:r w:rsidR="004C4857">
          <w:rPr>
            <w:rStyle w:val="Hyperlink"/>
          </w:rPr>
          <w:t>https://grocerycodereviewer.gov.au/code</w:t>
        </w:r>
        <w:r w:rsidR="003E7DEA">
          <w:rPr>
            <w:rStyle w:val="Hyperlink"/>
          </w:rPr>
          <w:noBreakHyphen/>
        </w:r>
        <w:r w:rsidR="004C4857">
          <w:rPr>
            <w:rStyle w:val="Hyperlink"/>
          </w:rPr>
          <w:t>arbiter/aldi</w:t>
        </w:r>
      </w:hyperlink>
      <w:r w:rsidR="004C4857">
        <w:t>, pp. 1</w:t>
      </w:r>
      <w:r w:rsidR="003E7DEA">
        <w:noBreakHyphen/>
      </w:r>
      <w:r w:rsidR="004C4857">
        <w:t>2.</w:t>
      </w:r>
    </w:p>
  </w:footnote>
  <w:footnote w:id="12">
    <w:p w14:paraId="7C2DBE12" w14:textId="5A4476FB" w:rsidR="001E73EC" w:rsidRDefault="00424FD7" w:rsidP="005505D7">
      <w:pPr>
        <w:pStyle w:val="FootnoteText"/>
        <w:ind w:left="284" w:hanging="284"/>
      </w:pPr>
      <w:r w:rsidRPr="00424FD7">
        <w:rPr>
          <w:rStyle w:val="FootnoteReference"/>
          <w:vertAlign w:val="baseline"/>
        </w:rPr>
        <w:footnoteRef/>
      </w:r>
      <w:r w:rsidR="001E73EC">
        <w:t xml:space="preserve"> </w:t>
      </w:r>
      <w:r w:rsidR="005505D7">
        <w:tab/>
      </w:r>
      <w:r w:rsidR="001528E9">
        <w:t>N</w:t>
      </w:r>
      <w:r w:rsidR="001E73EC">
        <w:t xml:space="preserve">otifications </w:t>
      </w:r>
      <w:r w:rsidR="001528E9">
        <w:t>are per product and multiple notifications may be attributed to</w:t>
      </w:r>
      <w:r w:rsidR="001E73EC">
        <w:t xml:space="preserve"> a single supplier.</w:t>
      </w:r>
    </w:p>
  </w:footnote>
  <w:footnote w:id="13">
    <w:p w14:paraId="1D970449" w14:textId="6EEB89FF" w:rsidR="00F8646C" w:rsidRDefault="00424FD7" w:rsidP="005505D7">
      <w:pPr>
        <w:pStyle w:val="FootnoteText"/>
        <w:ind w:left="284" w:hanging="284"/>
      </w:pPr>
      <w:r w:rsidRPr="00424FD7">
        <w:rPr>
          <w:rStyle w:val="FootnoteReference"/>
          <w:vertAlign w:val="baseline"/>
        </w:rPr>
        <w:footnoteRef/>
      </w:r>
      <w:r w:rsidR="00F8646C">
        <w:t xml:space="preserve"> </w:t>
      </w:r>
      <w:r w:rsidR="005505D7">
        <w:tab/>
      </w:r>
      <w:r w:rsidR="00F8646C">
        <w:t>Woolworths note</w:t>
      </w:r>
      <w:r w:rsidR="00323721">
        <w:t>d</w:t>
      </w:r>
      <w:r w:rsidR="00F8646C">
        <w:t xml:space="preserve"> that </w:t>
      </w:r>
      <w:r w:rsidR="00F8646C">
        <w:rPr>
          <w:color w:val="000000"/>
        </w:rPr>
        <w:t>37 of these were duplicate emails sent to more than one individual within the same organisation, either because the most appropriate contact could not be identified</w:t>
      </w:r>
      <w:r w:rsidR="00F8646C" w:rsidDel="000D46E7">
        <w:rPr>
          <w:color w:val="000000"/>
        </w:rPr>
        <w:t xml:space="preserve"> </w:t>
      </w:r>
      <w:r w:rsidR="00F8646C">
        <w:rPr>
          <w:color w:val="000000"/>
        </w:rPr>
        <w:t>or where separate emails were sent to independently operated divisions of large suppliers.</w:t>
      </w:r>
    </w:p>
  </w:footnote>
  <w:footnote w:id="14">
    <w:p w14:paraId="50C93082" w14:textId="0E36AD04" w:rsidR="00F8646C" w:rsidRDefault="00424FD7" w:rsidP="005505D7">
      <w:pPr>
        <w:spacing w:before="0" w:after="100" w:afterAutospacing="1"/>
        <w:ind w:left="284" w:hanging="284"/>
      </w:pPr>
      <w:r w:rsidRPr="00424FD7">
        <w:rPr>
          <w:rStyle w:val="FootnoteReference"/>
          <w:vertAlign w:val="baseline"/>
        </w:rPr>
        <w:footnoteRef/>
      </w:r>
      <w:r w:rsidR="00F8646C">
        <w:t xml:space="preserve"> </w:t>
      </w:r>
      <w:r w:rsidR="005505D7">
        <w:tab/>
      </w:r>
      <w:r w:rsidR="00F8646C" w:rsidRPr="00F8646C">
        <w:rPr>
          <w:color w:val="000000"/>
          <w:sz w:val="20"/>
          <w:szCs w:val="18"/>
        </w:rPr>
        <w:t xml:space="preserve">Woolworths </w:t>
      </w:r>
      <w:r w:rsidR="00323721">
        <w:rPr>
          <w:color w:val="000000"/>
          <w:sz w:val="20"/>
          <w:szCs w:val="18"/>
        </w:rPr>
        <w:t>wa</w:t>
      </w:r>
      <w:r w:rsidR="00F8646C" w:rsidRPr="00F8646C">
        <w:rPr>
          <w:color w:val="000000"/>
          <w:sz w:val="20"/>
          <w:szCs w:val="18"/>
        </w:rPr>
        <w:t xml:space="preserve">s unable to provide </w:t>
      </w:r>
      <w:r w:rsidR="00323721">
        <w:rPr>
          <w:color w:val="000000"/>
          <w:sz w:val="20"/>
          <w:szCs w:val="18"/>
        </w:rPr>
        <w:t>the</w:t>
      </w:r>
      <w:r w:rsidR="00F8646C" w:rsidRPr="00F8646C">
        <w:rPr>
          <w:color w:val="000000"/>
          <w:sz w:val="20"/>
          <w:szCs w:val="18"/>
        </w:rPr>
        <w:t xml:space="preserve"> precise total number of suppliers</w:t>
      </w:r>
      <w:r w:rsidR="00323721">
        <w:rPr>
          <w:color w:val="000000"/>
          <w:sz w:val="20"/>
          <w:szCs w:val="18"/>
        </w:rPr>
        <w:t>,</w:t>
      </w:r>
      <w:r w:rsidR="00F8646C" w:rsidRPr="00F8646C">
        <w:rPr>
          <w:color w:val="000000"/>
          <w:sz w:val="20"/>
          <w:szCs w:val="18"/>
        </w:rPr>
        <w:t xml:space="preserve"> </w:t>
      </w:r>
      <w:r w:rsidR="00323721">
        <w:rPr>
          <w:color w:val="000000"/>
          <w:sz w:val="20"/>
          <w:szCs w:val="18"/>
        </w:rPr>
        <w:t xml:space="preserve">however the approximate </w:t>
      </w:r>
      <w:r w:rsidR="00F8646C" w:rsidRPr="00F8646C">
        <w:rPr>
          <w:color w:val="000000"/>
          <w:sz w:val="20"/>
          <w:szCs w:val="18"/>
        </w:rPr>
        <w:t>count is 3,200.</w:t>
      </w:r>
    </w:p>
    <w:p w14:paraId="1E6EDAC9" w14:textId="5156BA46" w:rsidR="00F8646C" w:rsidRDefault="00F8646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61B1" w14:textId="6158F9B3" w:rsidR="00EF145E" w:rsidRPr="001F3912" w:rsidRDefault="00EF145E" w:rsidP="00A12F62">
    <w:pPr>
      <w:pStyle w:val="HeaderEven"/>
    </w:pPr>
    <w:r>
      <w:fldChar w:fldCharType="begin"/>
    </w:r>
    <w:r>
      <w:instrText xml:space="preserve"> STYLEREF  Title  \* MERGEFORMAT </w:instrText>
    </w:r>
    <w:r>
      <w:fldChar w:fldCharType="separate"/>
    </w:r>
    <w:r w:rsidR="00736337">
      <w:rPr>
        <w:b/>
        <w:bCs/>
        <w:noProof/>
        <w:lang w:val="en-US"/>
      </w:rPr>
      <w:t>Error! No text of specified style in document.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F5D7" w14:textId="43CF9B9B" w:rsidR="00157053" w:rsidRPr="001F3912" w:rsidRDefault="002D10B8" w:rsidP="00A12F62">
    <w:pPr>
      <w:pStyle w:val="HeaderOdd"/>
    </w:pPr>
    <w:r>
      <w:fldChar w:fldCharType="begin"/>
    </w:r>
    <w:r>
      <w:instrText xml:space="preserve"> STYLEREF  "Heading 1"  \* MERGEFORMAT </w:instrText>
    </w:r>
    <w:r>
      <w:fldChar w:fldCharType="separate"/>
    </w:r>
    <w:r>
      <w:rPr>
        <w:noProof/>
      </w:rPr>
      <w:t>Changes to the Code recommended by the Independent Reviewer</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6209E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135pt;height:60pt;visibility:visible;mso-wrap-style:square" o:bullet="t">
        <v:imagedata r:id="rId1" o:title=""/>
      </v:shape>
    </w:pict>
  </w:numPicBullet>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6CE2280"/>
    <w:multiLevelType w:val="multilevel"/>
    <w:tmpl w:val="7FD4840E"/>
    <w:lvl w:ilvl="0">
      <w:start w:val="1"/>
      <w:numFmt w:val="bullet"/>
      <w:lvlText w:val="-"/>
      <w:lvlJc w:val="left"/>
      <w:pPr>
        <w:tabs>
          <w:tab w:val="num" w:pos="283"/>
        </w:tabs>
        <w:ind w:left="283" w:hanging="283"/>
      </w:pPr>
      <w:rPr>
        <w:rFonts w:ascii="Calibri" w:eastAsiaTheme="minorHAnsi" w:hAnsi="Calibri" w:cs="Calibri"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2A02F4"/>
    <w:multiLevelType w:val="multilevel"/>
    <w:tmpl w:val="D9A65F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95A4727"/>
    <w:multiLevelType w:val="hybridMultilevel"/>
    <w:tmpl w:val="A55AFE38"/>
    <w:lvl w:ilvl="0" w:tplc="08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CDD440C"/>
    <w:multiLevelType w:val="hybridMultilevel"/>
    <w:tmpl w:val="9EF0F6CE"/>
    <w:lvl w:ilvl="0" w:tplc="1166EAA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7E7A53"/>
    <w:multiLevelType w:val="hybridMultilevel"/>
    <w:tmpl w:val="9BE41146"/>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15:restartNumberingAfterBreak="0">
    <w:nsid w:val="31A13001"/>
    <w:multiLevelType w:val="hybridMultilevel"/>
    <w:tmpl w:val="ADF2A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523321"/>
    <w:multiLevelType w:val="hybridMultilevel"/>
    <w:tmpl w:val="68BA363C"/>
    <w:lvl w:ilvl="0" w:tplc="1166EAA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240BDF"/>
    <w:multiLevelType w:val="hybridMultilevel"/>
    <w:tmpl w:val="133417EA"/>
    <w:lvl w:ilvl="0" w:tplc="1166EAA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913FB9"/>
    <w:multiLevelType w:val="hybridMultilevel"/>
    <w:tmpl w:val="B64C07DA"/>
    <w:lvl w:ilvl="0" w:tplc="1166EAA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2E6C60"/>
    <w:multiLevelType w:val="hybridMultilevel"/>
    <w:tmpl w:val="0F16FCF8"/>
    <w:lvl w:ilvl="0" w:tplc="0A8AA2A4">
      <w:start w:val="7"/>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EE066F"/>
    <w:multiLevelType w:val="hybridMultilevel"/>
    <w:tmpl w:val="E28A6786"/>
    <w:lvl w:ilvl="0" w:tplc="1166EAA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8C0A33"/>
    <w:multiLevelType w:val="hybridMultilevel"/>
    <w:tmpl w:val="141A9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3" w15:restartNumberingAfterBreak="0">
    <w:nsid w:val="4F152A0B"/>
    <w:multiLevelType w:val="multilevel"/>
    <w:tmpl w:val="5566922C"/>
    <w:lvl w:ilvl="0">
      <w:start w:val="1"/>
      <w:numFmt w:val="lowerLetter"/>
      <w:lvlText w:val="%1."/>
      <w:lvlJc w:val="left"/>
      <w:pPr>
        <w:tabs>
          <w:tab w:val="num" w:pos="283"/>
        </w:tabs>
        <w:ind w:left="283" w:hanging="283"/>
      </w:pPr>
      <w:rPr>
        <w:rFonts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4" w15:restartNumberingAfterBreak="0">
    <w:nsid w:val="510D2021"/>
    <w:multiLevelType w:val="multilevel"/>
    <w:tmpl w:val="72F8140E"/>
    <w:numStyleLink w:val="OutlineList"/>
  </w:abstractNum>
  <w:abstractNum w:abstractNumId="25" w15:restartNumberingAfterBreak="0">
    <w:nsid w:val="51184CD0"/>
    <w:multiLevelType w:val="hybridMultilevel"/>
    <w:tmpl w:val="67FC8BA2"/>
    <w:lvl w:ilvl="0" w:tplc="9224D9B4">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3A42FB"/>
    <w:multiLevelType w:val="hybridMultilevel"/>
    <w:tmpl w:val="DF963DF8"/>
    <w:lvl w:ilvl="0" w:tplc="B0E4A08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0D1C2E"/>
    <w:multiLevelType w:val="hybridMultilevel"/>
    <w:tmpl w:val="9F94896E"/>
    <w:lvl w:ilvl="0" w:tplc="9E2A26E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75B5789"/>
    <w:multiLevelType w:val="hybridMultilevel"/>
    <w:tmpl w:val="14823B02"/>
    <w:lvl w:ilvl="0" w:tplc="08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2"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12"/>
  </w:num>
  <w:num w:numId="2">
    <w:abstractNumId w:val="0"/>
  </w:num>
  <w:num w:numId="3">
    <w:abstractNumId w:val="15"/>
  </w:num>
  <w:num w:numId="4">
    <w:abstractNumId w:val="2"/>
  </w:num>
  <w:num w:numId="5">
    <w:abstractNumId w:val="3"/>
  </w:num>
  <w:num w:numId="6">
    <w:abstractNumId w:val="24"/>
  </w:num>
  <w:num w:numId="7">
    <w:abstractNumId w:val="14"/>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5"/>
  </w:num>
  <w:num w:numId="9">
    <w:abstractNumId w:val="1"/>
  </w:num>
  <w:num w:numId="10">
    <w:abstractNumId w:val="9"/>
  </w:num>
  <w:num w:numId="11">
    <w:abstractNumId w:val="31"/>
  </w:num>
  <w:num w:numId="12">
    <w:abstractNumId w:val="24"/>
  </w:num>
  <w:num w:numId="13">
    <w:abstractNumId w:val="32"/>
  </w:num>
  <w:num w:numId="14">
    <w:abstractNumId w:val="22"/>
  </w:num>
  <w:num w:numId="15">
    <w:abstractNumId w:val="8"/>
  </w:num>
  <w:num w:numId="16">
    <w:abstractNumId w:val="28"/>
  </w:num>
  <w:num w:numId="17">
    <w:abstractNumId w:val="14"/>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5"/>
  </w:num>
  <w:num w:numId="21">
    <w:abstractNumId w:val="27"/>
  </w:num>
  <w:num w:numId="22">
    <w:abstractNumId w:val="12"/>
  </w:num>
  <w:num w:numId="23">
    <w:abstractNumId w:val="12"/>
  </w:num>
  <w:num w:numId="24">
    <w:abstractNumId w:val="18"/>
  </w:num>
  <w:num w:numId="25">
    <w:abstractNumId w:val="17"/>
  </w:num>
  <w:num w:numId="26">
    <w:abstractNumId w:val="16"/>
  </w:num>
  <w:num w:numId="27">
    <w:abstractNumId w:val="20"/>
  </w:num>
  <w:num w:numId="28">
    <w:abstractNumId w:val="10"/>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3"/>
  </w:num>
  <w:num w:numId="32">
    <w:abstractNumId w:val="29"/>
  </w:num>
  <w:num w:numId="33">
    <w:abstractNumId w:val="11"/>
  </w:num>
  <w:num w:numId="34">
    <w:abstractNumId w:val="7"/>
  </w:num>
  <w:num w:numId="35">
    <w:abstractNumId w:val="19"/>
  </w:num>
  <w:num w:numId="36">
    <w:abstractNumId w:val="23"/>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defaultTabStop w:val="73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BE3"/>
    <w:rsid w:val="00001E5A"/>
    <w:rsid w:val="000030DE"/>
    <w:rsid w:val="000051BF"/>
    <w:rsid w:val="0000535F"/>
    <w:rsid w:val="00011725"/>
    <w:rsid w:val="00011E4B"/>
    <w:rsid w:val="000128C9"/>
    <w:rsid w:val="00012C62"/>
    <w:rsid w:val="0001396A"/>
    <w:rsid w:val="00014547"/>
    <w:rsid w:val="0001552D"/>
    <w:rsid w:val="000168A4"/>
    <w:rsid w:val="000245EE"/>
    <w:rsid w:val="0002544D"/>
    <w:rsid w:val="00025495"/>
    <w:rsid w:val="00026ABA"/>
    <w:rsid w:val="00026E92"/>
    <w:rsid w:val="0002711F"/>
    <w:rsid w:val="00027910"/>
    <w:rsid w:val="000322B2"/>
    <w:rsid w:val="00037972"/>
    <w:rsid w:val="00040215"/>
    <w:rsid w:val="00040B42"/>
    <w:rsid w:val="00040BFC"/>
    <w:rsid w:val="0004274D"/>
    <w:rsid w:val="000432B3"/>
    <w:rsid w:val="00043348"/>
    <w:rsid w:val="00043786"/>
    <w:rsid w:val="000437F1"/>
    <w:rsid w:val="0004414E"/>
    <w:rsid w:val="0004483F"/>
    <w:rsid w:val="000449F4"/>
    <w:rsid w:val="00047F23"/>
    <w:rsid w:val="0005138B"/>
    <w:rsid w:val="00051D0B"/>
    <w:rsid w:val="000522B7"/>
    <w:rsid w:val="00052921"/>
    <w:rsid w:val="000542E2"/>
    <w:rsid w:val="00054880"/>
    <w:rsid w:val="0005532D"/>
    <w:rsid w:val="00056880"/>
    <w:rsid w:val="000615EB"/>
    <w:rsid w:val="00064F4D"/>
    <w:rsid w:val="0006665C"/>
    <w:rsid w:val="000675D1"/>
    <w:rsid w:val="00067692"/>
    <w:rsid w:val="00070455"/>
    <w:rsid w:val="000719B3"/>
    <w:rsid w:val="00072D64"/>
    <w:rsid w:val="00073521"/>
    <w:rsid w:val="00073953"/>
    <w:rsid w:val="00077058"/>
    <w:rsid w:val="000775DE"/>
    <w:rsid w:val="00081BAD"/>
    <w:rsid w:val="00082D5B"/>
    <w:rsid w:val="00087700"/>
    <w:rsid w:val="000878DE"/>
    <w:rsid w:val="00087FAF"/>
    <w:rsid w:val="00091597"/>
    <w:rsid w:val="000A2440"/>
    <w:rsid w:val="000A25FC"/>
    <w:rsid w:val="000A3458"/>
    <w:rsid w:val="000A531F"/>
    <w:rsid w:val="000A558F"/>
    <w:rsid w:val="000A6E6C"/>
    <w:rsid w:val="000B3252"/>
    <w:rsid w:val="000B41A0"/>
    <w:rsid w:val="000B4456"/>
    <w:rsid w:val="000B5E69"/>
    <w:rsid w:val="000C1E94"/>
    <w:rsid w:val="000C2390"/>
    <w:rsid w:val="000C571D"/>
    <w:rsid w:val="000C5F40"/>
    <w:rsid w:val="000C6279"/>
    <w:rsid w:val="000D0FF5"/>
    <w:rsid w:val="000D1B10"/>
    <w:rsid w:val="000D2F86"/>
    <w:rsid w:val="000D39AA"/>
    <w:rsid w:val="000D3C9F"/>
    <w:rsid w:val="000D46E7"/>
    <w:rsid w:val="000D6377"/>
    <w:rsid w:val="000D71E3"/>
    <w:rsid w:val="000E0B74"/>
    <w:rsid w:val="000E0F97"/>
    <w:rsid w:val="000E10A8"/>
    <w:rsid w:val="000E4415"/>
    <w:rsid w:val="000E7901"/>
    <w:rsid w:val="000E7B49"/>
    <w:rsid w:val="000F02B0"/>
    <w:rsid w:val="000F03D9"/>
    <w:rsid w:val="000F0A5D"/>
    <w:rsid w:val="000F27FF"/>
    <w:rsid w:val="000F3A7F"/>
    <w:rsid w:val="000F3F8C"/>
    <w:rsid w:val="000F55AE"/>
    <w:rsid w:val="0010205C"/>
    <w:rsid w:val="0010471B"/>
    <w:rsid w:val="001067CE"/>
    <w:rsid w:val="00106BAC"/>
    <w:rsid w:val="00107127"/>
    <w:rsid w:val="001102F8"/>
    <w:rsid w:val="0011202C"/>
    <w:rsid w:val="00113E6D"/>
    <w:rsid w:val="00116C5B"/>
    <w:rsid w:val="00126B67"/>
    <w:rsid w:val="00127BD1"/>
    <w:rsid w:val="0013097E"/>
    <w:rsid w:val="001310D6"/>
    <w:rsid w:val="00131DC3"/>
    <w:rsid w:val="00135E4C"/>
    <w:rsid w:val="0013662C"/>
    <w:rsid w:val="001373F5"/>
    <w:rsid w:val="001401F1"/>
    <w:rsid w:val="001445C2"/>
    <w:rsid w:val="00146A11"/>
    <w:rsid w:val="001479F5"/>
    <w:rsid w:val="001528E9"/>
    <w:rsid w:val="001557C6"/>
    <w:rsid w:val="00157053"/>
    <w:rsid w:val="001574C0"/>
    <w:rsid w:val="001606CF"/>
    <w:rsid w:val="00160A02"/>
    <w:rsid w:val="0016128D"/>
    <w:rsid w:val="001612A8"/>
    <w:rsid w:val="00162781"/>
    <w:rsid w:val="00163286"/>
    <w:rsid w:val="00163C22"/>
    <w:rsid w:val="00164FD2"/>
    <w:rsid w:val="00165035"/>
    <w:rsid w:val="001658C4"/>
    <w:rsid w:val="0017089D"/>
    <w:rsid w:val="0017121E"/>
    <w:rsid w:val="0017237D"/>
    <w:rsid w:val="00172AB0"/>
    <w:rsid w:val="0017352F"/>
    <w:rsid w:val="001744E0"/>
    <w:rsid w:val="00180601"/>
    <w:rsid w:val="00183579"/>
    <w:rsid w:val="00183B82"/>
    <w:rsid w:val="00183CFA"/>
    <w:rsid w:val="001870CE"/>
    <w:rsid w:val="0019101A"/>
    <w:rsid w:val="00195613"/>
    <w:rsid w:val="00196F96"/>
    <w:rsid w:val="001972D2"/>
    <w:rsid w:val="001A399E"/>
    <w:rsid w:val="001A59C8"/>
    <w:rsid w:val="001B0B83"/>
    <w:rsid w:val="001B0DBF"/>
    <w:rsid w:val="001B38EA"/>
    <w:rsid w:val="001B5701"/>
    <w:rsid w:val="001B5C15"/>
    <w:rsid w:val="001B6D8D"/>
    <w:rsid w:val="001B707A"/>
    <w:rsid w:val="001C0A3A"/>
    <w:rsid w:val="001C13F1"/>
    <w:rsid w:val="001C358D"/>
    <w:rsid w:val="001C35E8"/>
    <w:rsid w:val="001D0D2A"/>
    <w:rsid w:val="001D7F3F"/>
    <w:rsid w:val="001E008B"/>
    <w:rsid w:val="001E282E"/>
    <w:rsid w:val="001E2EE4"/>
    <w:rsid w:val="001E468A"/>
    <w:rsid w:val="001E4850"/>
    <w:rsid w:val="001E602F"/>
    <w:rsid w:val="001E73EC"/>
    <w:rsid w:val="001F1712"/>
    <w:rsid w:val="001F1B27"/>
    <w:rsid w:val="001F2137"/>
    <w:rsid w:val="001F2BCD"/>
    <w:rsid w:val="001F2F93"/>
    <w:rsid w:val="001F3524"/>
    <w:rsid w:val="001F377B"/>
    <w:rsid w:val="001F59A5"/>
    <w:rsid w:val="001F7704"/>
    <w:rsid w:val="00201513"/>
    <w:rsid w:val="002042AF"/>
    <w:rsid w:val="00206BCD"/>
    <w:rsid w:val="002107C7"/>
    <w:rsid w:val="00212BF2"/>
    <w:rsid w:val="00213E6A"/>
    <w:rsid w:val="00221BE7"/>
    <w:rsid w:val="00221EC0"/>
    <w:rsid w:val="00224219"/>
    <w:rsid w:val="00224968"/>
    <w:rsid w:val="00226169"/>
    <w:rsid w:val="00231049"/>
    <w:rsid w:val="00231278"/>
    <w:rsid w:val="002314D2"/>
    <w:rsid w:val="00231C4F"/>
    <w:rsid w:val="002323DC"/>
    <w:rsid w:val="0023305C"/>
    <w:rsid w:val="0023484F"/>
    <w:rsid w:val="002348B6"/>
    <w:rsid w:val="00235310"/>
    <w:rsid w:val="002412AB"/>
    <w:rsid w:val="002412AF"/>
    <w:rsid w:val="00241881"/>
    <w:rsid w:val="0024294C"/>
    <w:rsid w:val="0024296E"/>
    <w:rsid w:val="00243532"/>
    <w:rsid w:val="00244F91"/>
    <w:rsid w:val="00250167"/>
    <w:rsid w:val="00251188"/>
    <w:rsid w:val="002517CA"/>
    <w:rsid w:val="002546B9"/>
    <w:rsid w:val="0025652F"/>
    <w:rsid w:val="00256A26"/>
    <w:rsid w:val="00261E07"/>
    <w:rsid w:val="00263B6C"/>
    <w:rsid w:val="00266929"/>
    <w:rsid w:val="00267FA3"/>
    <w:rsid w:val="00272939"/>
    <w:rsid w:val="002758F8"/>
    <w:rsid w:val="0027590B"/>
    <w:rsid w:val="0028149D"/>
    <w:rsid w:val="002825EF"/>
    <w:rsid w:val="00285969"/>
    <w:rsid w:val="002860C3"/>
    <w:rsid w:val="00286A5C"/>
    <w:rsid w:val="0028789C"/>
    <w:rsid w:val="0029169C"/>
    <w:rsid w:val="00291CA1"/>
    <w:rsid w:val="00291F08"/>
    <w:rsid w:val="00292DA5"/>
    <w:rsid w:val="00295255"/>
    <w:rsid w:val="002A4284"/>
    <w:rsid w:val="002A74EF"/>
    <w:rsid w:val="002A7FB7"/>
    <w:rsid w:val="002B0107"/>
    <w:rsid w:val="002B1411"/>
    <w:rsid w:val="002B2694"/>
    <w:rsid w:val="002B3829"/>
    <w:rsid w:val="002B4633"/>
    <w:rsid w:val="002C02F6"/>
    <w:rsid w:val="002C22EF"/>
    <w:rsid w:val="002C281C"/>
    <w:rsid w:val="002C54BD"/>
    <w:rsid w:val="002C553C"/>
    <w:rsid w:val="002D10B8"/>
    <w:rsid w:val="002D3D77"/>
    <w:rsid w:val="002D6397"/>
    <w:rsid w:val="002D672D"/>
    <w:rsid w:val="002D6A63"/>
    <w:rsid w:val="002D75B4"/>
    <w:rsid w:val="002E1F09"/>
    <w:rsid w:val="002E454C"/>
    <w:rsid w:val="002E7990"/>
    <w:rsid w:val="002F1307"/>
    <w:rsid w:val="002F1856"/>
    <w:rsid w:val="002F2725"/>
    <w:rsid w:val="002F34AA"/>
    <w:rsid w:val="002F50F4"/>
    <w:rsid w:val="002F617F"/>
    <w:rsid w:val="002F6426"/>
    <w:rsid w:val="002F6506"/>
    <w:rsid w:val="002F6944"/>
    <w:rsid w:val="002F7EBA"/>
    <w:rsid w:val="00300109"/>
    <w:rsid w:val="00301755"/>
    <w:rsid w:val="00301A8B"/>
    <w:rsid w:val="00301F8F"/>
    <w:rsid w:val="00302F1A"/>
    <w:rsid w:val="00302F2E"/>
    <w:rsid w:val="0030665E"/>
    <w:rsid w:val="00306894"/>
    <w:rsid w:val="00307607"/>
    <w:rsid w:val="003122F4"/>
    <w:rsid w:val="003125F5"/>
    <w:rsid w:val="00315079"/>
    <w:rsid w:val="0032081B"/>
    <w:rsid w:val="0032114C"/>
    <w:rsid w:val="00321DCE"/>
    <w:rsid w:val="003225C8"/>
    <w:rsid w:val="00323721"/>
    <w:rsid w:val="0032457B"/>
    <w:rsid w:val="00324DBA"/>
    <w:rsid w:val="003268D5"/>
    <w:rsid w:val="00332A35"/>
    <w:rsid w:val="0033347E"/>
    <w:rsid w:val="00333A34"/>
    <w:rsid w:val="003342E1"/>
    <w:rsid w:val="00335E05"/>
    <w:rsid w:val="00336DF9"/>
    <w:rsid w:val="00337208"/>
    <w:rsid w:val="003448F6"/>
    <w:rsid w:val="00346AC2"/>
    <w:rsid w:val="0034735C"/>
    <w:rsid w:val="00350759"/>
    <w:rsid w:val="00354D27"/>
    <w:rsid w:val="003550D0"/>
    <w:rsid w:val="00355DCA"/>
    <w:rsid w:val="0035738A"/>
    <w:rsid w:val="00360573"/>
    <w:rsid w:val="00361CF9"/>
    <w:rsid w:val="00361D14"/>
    <w:rsid w:val="00361DC2"/>
    <w:rsid w:val="00364288"/>
    <w:rsid w:val="00364545"/>
    <w:rsid w:val="00365DD0"/>
    <w:rsid w:val="00370641"/>
    <w:rsid w:val="003733D1"/>
    <w:rsid w:val="00374038"/>
    <w:rsid w:val="0037581A"/>
    <w:rsid w:val="003771C9"/>
    <w:rsid w:val="00380A2D"/>
    <w:rsid w:val="003858A6"/>
    <w:rsid w:val="00392A91"/>
    <w:rsid w:val="00392DCC"/>
    <w:rsid w:val="003937B0"/>
    <w:rsid w:val="0039553C"/>
    <w:rsid w:val="00395B82"/>
    <w:rsid w:val="00395D8E"/>
    <w:rsid w:val="003964EE"/>
    <w:rsid w:val="003A00E0"/>
    <w:rsid w:val="003A2216"/>
    <w:rsid w:val="003A265E"/>
    <w:rsid w:val="003A2AD2"/>
    <w:rsid w:val="003A2CDE"/>
    <w:rsid w:val="003A5757"/>
    <w:rsid w:val="003A5B36"/>
    <w:rsid w:val="003A5D43"/>
    <w:rsid w:val="003B1E7E"/>
    <w:rsid w:val="003B45EC"/>
    <w:rsid w:val="003B5018"/>
    <w:rsid w:val="003B5853"/>
    <w:rsid w:val="003B7920"/>
    <w:rsid w:val="003B7B58"/>
    <w:rsid w:val="003C070D"/>
    <w:rsid w:val="003C1004"/>
    <w:rsid w:val="003C1988"/>
    <w:rsid w:val="003C1F05"/>
    <w:rsid w:val="003C24B4"/>
    <w:rsid w:val="003C27C9"/>
    <w:rsid w:val="003C7EB2"/>
    <w:rsid w:val="003D0067"/>
    <w:rsid w:val="003D2C57"/>
    <w:rsid w:val="003D3A6D"/>
    <w:rsid w:val="003D40F9"/>
    <w:rsid w:val="003D4E1D"/>
    <w:rsid w:val="003D5C10"/>
    <w:rsid w:val="003D689B"/>
    <w:rsid w:val="003D784B"/>
    <w:rsid w:val="003E1F4E"/>
    <w:rsid w:val="003E20D6"/>
    <w:rsid w:val="003E2FA8"/>
    <w:rsid w:val="003E44E4"/>
    <w:rsid w:val="003E4D87"/>
    <w:rsid w:val="003E533D"/>
    <w:rsid w:val="003E5DF9"/>
    <w:rsid w:val="003E5E4D"/>
    <w:rsid w:val="003E6335"/>
    <w:rsid w:val="003E787A"/>
    <w:rsid w:val="003E7DEA"/>
    <w:rsid w:val="003F00D8"/>
    <w:rsid w:val="003F12B8"/>
    <w:rsid w:val="003F31A2"/>
    <w:rsid w:val="003F6336"/>
    <w:rsid w:val="00401082"/>
    <w:rsid w:val="004012CE"/>
    <w:rsid w:val="004032DF"/>
    <w:rsid w:val="00405D3F"/>
    <w:rsid w:val="004065D5"/>
    <w:rsid w:val="00407A84"/>
    <w:rsid w:val="0041057C"/>
    <w:rsid w:val="00410C34"/>
    <w:rsid w:val="004133E2"/>
    <w:rsid w:val="004138FC"/>
    <w:rsid w:val="00416762"/>
    <w:rsid w:val="00416E55"/>
    <w:rsid w:val="00421BD8"/>
    <w:rsid w:val="004238BB"/>
    <w:rsid w:val="0042423B"/>
    <w:rsid w:val="00424FD7"/>
    <w:rsid w:val="0042518A"/>
    <w:rsid w:val="004252A8"/>
    <w:rsid w:val="004256F7"/>
    <w:rsid w:val="00425A64"/>
    <w:rsid w:val="004276A0"/>
    <w:rsid w:val="00431C0F"/>
    <w:rsid w:val="0043602C"/>
    <w:rsid w:val="00437EE1"/>
    <w:rsid w:val="0044144B"/>
    <w:rsid w:val="0044313A"/>
    <w:rsid w:val="00443D7A"/>
    <w:rsid w:val="00443DF4"/>
    <w:rsid w:val="00444487"/>
    <w:rsid w:val="00445265"/>
    <w:rsid w:val="004454C8"/>
    <w:rsid w:val="00447599"/>
    <w:rsid w:val="00452AC2"/>
    <w:rsid w:val="004544D1"/>
    <w:rsid w:val="004559CE"/>
    <w:rsid w:val="00456E80"/>
    <w:rsid w:val="00457343"/>
    <w:rsid w:val="00460E1A"/>
    <w:rsid w:val="0046233D"/>
    <w:rsid w:val="00463DF8"/>
    <w:rsid w:val="00464D63"/>
    <w:rsid w:val="00466B07"/>
    <w:rsid w:val="00474D4F"/>
    <w:rsid w:val="00475085"/>
    <w:rsid w:val="00476CF6"/>
    <w:rsid w:val="00477298"/>
    <w:rsid w:val="00477AA8"/>
    <w:rsid w:val="00477DC3"/>
    <w:rsid w:val="004821A3"/>
    <w:rsid w:val="004849CE"/>
    <w:rsid w:val="00486896"/>
    <w:rsid w:val="00490637"/>
    <w:rsid w:val="00490D3A"/>
    <w:rsid w:val="00492FCB"/>
    <w:rsid w:val="00494256"/>
    <w:rsid w:val="00495B3D"/>
    <w:rsid w:val="00496D26"/>
    <w:rsid w:val="004A0F11"/>
    <w:rsid w:val="004A1035"/>
    <w:rsid w:val="004A3EAA"/>
    <w:rsid w:val="004A5D62"/>
    <w:rsid w:val="004A6BC3"/>
    <w:rsid w:val="004A767B"/>
    <w:rsid w:val="004A7D97"/>
    <w:rsid w:val="004B3289"/>
    <w:rsid w:val="004B330B"/>
    <w:rsid w:val="004B4BB8"/>
    <w:rsid w:val="004B5133"/>
    <w:rsid w:val="004B5EB5"/>
    <w:rsid w:val="004B6AF7"/>
    <w:rsid w:val="004C37F7"/>
    <w:rsid w:val="004C3C55"/>
    <w:rsid w:val="004C41B6"/>
    <w:rsid w:val="004C4857"/>
    <w:rsid w:val="004D1BA5"/>
    <w:rsid w:val="004D323F"/>
    <w:rsid w:val="004D3634"/>
    <w:rsid w:val="004D6E37"/>
    <w:rsid w:val="004E00EA"/>
    <w:rsid w:val="004E10D9"/>
    <w:rsid w:val="004E3155"/>
    <w:rsid w:val="004E3B33"/>
    <w:rsid w:val="004E4138"/>
    <w:rsid w:val="004F067E"/>
    <w:rsid w:val="004F2041"/>
    <w:rsid w:val="004F4B92"/>
    <w:rsid w:val="004F539E"/>
    <w:rsid w:val="005008F7"/>
    <w:rsid w:val="0050414A"/>
    <w:rsid w:val="00504A7D"/>
    <w:rsid w:val="00511FD1"/>
    <w:rsid w:val="00513758"/>
    <w:rsid w:val="00516212"/>
    <w:rsid w:val="00516785"/>
    <w:rsid w:val="005236D5"/>
    <w:rsid w:val="0052419D"/>
    <w:rsid w:val="00524CE8"/>
    <w:rsid w:val="005301F8"/>
    <w:rsid w:val="005312FC"/>
    <w:rsid w:val="00532BFC"/>
    <w:rsid w:val="00532C65"/>
    <w:rsid w:val="0053569E"/>
    <w:rsid w:val="0053603D"/>
    <w:rsid w:val="005360A3"/>
    <w:rsid w:val="0053742A"/>
    <w:rsid w:val="005378EC"/>
    <w:rsid w:val="00537C85"/>
    <w:rsid w:val="00540A23"/>
    <w:rsid w:val="00541D29"/>
    <w:rsid w:val="00542035"/>
    <w:rsid w:val="005505D7"/>
    <w:rsid w:val="00551573"/>
    <w:rsid w:val="0055305E"/>
    <w:rsid w:val="00553B13"/>
    <w:rsid w:val="00560E21"/>
    <w:rsid w:val="00561602"/>
    <w:rsid w:val="00562F17"/>
    <w:rsid w:val="0056582C"/>
    <w:rsid w:val="005726C0"/>
    <w:rsid w:val="00573CDF"/>
    <w:rsid w:val="00577A93"/>
    <w:rsid w:val="005800A5"/>
    <w:rsid w:val="005807C4"/>
    <w:rsid w:val="00583B36"/>
    <w:rsid w:val="005842E6"/>
    <w:rsid w:val="005868DE"/>
    <w:rsid w:val="005872E3"/>
    <w:rsid w:val="005877AC"/>
    <w:rsid w:val="0059257E"/>
    <w:rsid w:val="00593F85"/>
    <w:rsid w:val="00594406"/>
    <w:rsid w:val="005953A4"/>
    <w:rsid w:val="00595EF1"/>
    <w:rsid w:val="00595FEF"/>
    <w:rsid w:val="005966B7"/>
    <w:rsid w:val="00597864"/>
    <w:rsid w:val="005A02A9"/>
    <w:rsid w:val="005A0899"/>
    <w:rsid w:val="005B0141"/>
    <w:rsid w:val="005B15A6"/>
    <w:rsid w:val="005B2EBC"/>
    <w:rsid w:val="005B5E2A"/>
    <w:rsid w:val="005B79F0"/>
    <w:rsid w:val="005C02A4"/>
    <w:rsid w:val="005C20D2"/>
    <w:rsid w:val="005C32FE"/>
    <w:rsid w:val="005C350B"/>
    <w:rsid w:val="005C4202"/>
    <w:rsid w:val="005C4211"/>
    <w:rsid w:val="005C4797"/>
    <w:rsid w:val="005C4D5D"/>
    <w:rsid w:val="005C503A"/>
    <w:rsid w:val="005C5AF4"/>
    <w:rsid w:val="005C69B5"/>
    <w:rsid w:val="005C6BE7"/>
    <w:rsid w:val="005D024A"/>
    <w:rsid w:val="005D0775"/>
    <w:rsid w:val="005D07D4"/>
    <w:rsid w:val="005D4FD4"/>
    <w:rsid w:val="005D6D64"/>
    <w:rsid w:val="005D778C"/>
    <w:rsid w:val="005D7894"/>
    <w:rsid w:val="005E0F36"/>
    <w:rsid w:val="005E2ACA"/>
    <w:rsid w:val="005E4618"/>
    <w:rsid w:val="005F0391"/>
    <w:rsid w:val="005F0E80"/>
    <w:rsid w:val="005F24E1"/>
    <w:rsid w:val="005F4CD7"/>
    <w:rsid w:val="005F73EC"/>
    <w:rsid w:val="005F76E1"/>
    <w:rsid w:val="005F7A7D"/>
    <w:rsid w:val="005F7AF1"/>
    <w:rsid w:val="006014E1"/>
    <w:rsid w:val="00601650"/>
    <w:rsid w:val="00604EEF"/>
    <w:rsid w:val="00605AFD"/>
    <w:rsid w:val="00605FD5"/>
    <w:rsid w:val="00607253"/>
    <w:rsid w:val="00610C88"/>
    <w:rsid w:val="006123D4"/>
    <w:rsid w:val="0061445B"/>
    <w:rsid w:val="00616089"/>
    <w:rsid w:val="00617AF5"/>
    <w:rsid w:val="006237FE"/>
    <w:rsid w:val="00624C4B"/>
    <w:rsid w:val="00625F79"/>
    <w:rsid w:val="00627644"/>
    <w:rsid w:val="00630236"/>
    <w:rsid w:val="00630583"/>
    <w:rsid w:val="00630AA6"/>
    <w:rsid w:val="0063130D"/>
    <w:rsid w:val="00631B1F"/>
    <w:rsid w:val="00633CC6"/>
    <w:rsid w:val="00634F2B"/>
    <w:rsid w:val="00636BE4"/>
    <w:rsid w:val="0064332B"/>
    <w:rsid w:val="00643775"/>
    <w:rsid w:val="00643F15"/>
    <w:rsid w:val="00645F68"/>
    <w:rsid w:val="006467F3"/>
    <w:rsid w:val="00650341"/>
    <w:rsid w:val="0065398D"/>
    <w:rsid w:val="006547F9"/>
    <w:rsid w:val="00654974"/>
    <w:rsid w:val="006556EF"/>
    <w:rsid w:val="006564D3"/>
    <w:rsid w:val="00656963"/>
    <w:rsid w:val="0066454A"/>
    <w:rsid w:val="00665169"/>
    <w:rsid w:val="00667907"/>
    <w:rsid w:val="00671C86"/>
    <w:rsid w:val="006753BE"/>
    <w:rsid w:val="0067622C"/>
    <w:rsid w:val="00676B7C"/>
    <w:rsid w:val="0067760D"/>
    <w:rsid w:val="00677C14"/>
    <w:rsid w:val="00680067"/>
    <w:rsid w:val="006805BE"/>
    <w:rsid w:val="00680E51"/>
    <w:rsid w:val="00682A0C"/>
    <w:rsid w:val="00683DDF"/>
    <w:rsid w:val="006841FC"/>
    <w:rsid w:val="0068597A"/>
    <w:rsid w:val="00685CF7"/>
    <w:rsid w:val="00686165"/>
    <w:rsid w:val="0068774F"/>
    <w:rsid w:val="0069099F"/>
    <w:rsid w:val="00690E6D"/>
    <w:rsid w:val="00691137"/>
    <w:rsid w:val="00691600"/>
    <w:rsid w:val="00691AD7"/>
    <w:rsid w:val="00691CB5"/>
    <w:rsid w:val="006923DF"/>
    <w:rsid w:val="00692E9F"/>
    <w:rsid w:val="00693820"/>
    <w:rsid w:val="006A094C"/>
    <w:rsid w:val="006A0B03"/>
    <w:rsid w:val="006A1952"/>
    <w:rsid w:val="006A24F6"/>
    <w:rsid w:val="006A37F5"/>
    <w:rsid w:val="006A5D90"/>
    <w:rsid w:val="006B2304"/>
    <w:rsid w:val="006B33A3"/>
    <w:rsid w:val="006B3537"/>
    <w:rsid w:val="006B3829"/>
    <w:rsid w:val="006B38FF"/>
    <w:rsid w:val="006B67AA"/>
    <w:rsid w:val="006B6BF0"/>
    <w:rsid w:val="006C0224"/>
    <w:rsid w:val="006C07AA"/>
    <w:rsid w:val="006C0F25"/>
    <w:rsid w:val="006C1892"/>
    <w:rsid w:val="006C23BB"/>
    <w:rsid w:val="006C3BE4"/>
    <w:rsid w:val="006C4B66"/>
    <w:rsid w:val="006C5B73"/>
    <w:rsid w:val="006C61B6"/>
    <w:rsid w:val="006C645D"/>
    <w:rsid w:val="006D0675"/>
    <w:rsid w:val="006D1D8F"/>
    <w:rsid w:val="006D3D07"/>
    <w:rsid w:val="006E2D2A"/>
    <w:rsid w:val="006E3267"/>
    <w:rsid w:val="006E3CC3"/>
    <w:rsid w:val="006E51E6"/>
    <w:rsid w:val="006F1419"/>
    <w:rsid w:val="006F77A8"/>
    <w:rsid w:val="006F7B98"/>
    <w:rsid w:val="00700CB6"/>
    <w:rsid w:val="00706E8E"/>
    <w:rsid w:val="00710039"/>
    <w:rsid w:val="00713CDF"/>
    <w:rsid w:val="007150BE"/>
    <w:rsid w:val="0071568C"/>
    <w:rsid w:val="00722B53"/>
    <w:rsid w:val="007331C0"/>
    <w:rsid w:val="00734AB9"/>
    <w:rsid w:val="00736337"/>
    <w:rsid w:val="0074046F"/>
    <w:rsid w:val="007408C2"/>
    <w:rsid w:val="007425C2"/>
    <w:rsid w:val="007509DD"/>
    <w:rsid w:val="007510AB"/>
    <w:rsid w:val="007517F4"/>
    <w:rsid w:val="00755B3B"/>
    <w:rsid w:val="0075739A"/>
    <w:rsid w:val="00762B82"/>
    <w:rsid w:val="00763474"/>
    <w:rsid w:val="00763911"/>
    <w:rsid w:val="00764B7C"/>
    <w:rsid w:val="00765ECD"/>
    <w:rsid w:val="0077088C"/>
    <w:rsid w:val="007709E8"/>
    <w:rsid w:val="00770FF2"/>
    <w:rsid w:val="007756B2"/>
    <w:rsid w:val="00776D28"/>
    <w:rsid w:val="00776E8F"/>
    <w:rsid w:val="00780082"/>
    <w:rsid w:val="007813C8"/>
    <w:rsid w:val="007829F3"/>
    <w:rsid w:val="00782A2D"/>
    <w:rsid w:val="00784C0A"/>
    <w:rsid w:val="00784C1C"/>
    <w:rsid w:val="007851F4"/>
    <w:rsid w:val="00790736"/>
    <w:rsid w:val="0079089E"/>
    <w:rsid w:val="007919D7"/>
    <w:rsid w:val="00792AD5"/>
    <w:rsid w:val="0079428B"/>
    <w:rsid w:val="00794B40"/>
    <w:rsid w:val="007968E7"/>
    <w:rsid w:val="007A06F9"/>
    <w:rsid w:val="007A0DA7"/>
    <w:rsid w:val="007A1079"/>
    <w:rsid w:val="007A1BB1"/>
    <w:rsid w:val="007A2841"/>
    <w:rsid w:val="007A57B0"/>
    <w:rsid w:val="007A5F8A"/>
    <w:rsid w:val="007B2677"/>
    <w:rsid w:val="007B41E0"/>
    <w:rsid w:val="007B76AB"/>
    <w:rsid w:val="007C090F"/>
    <w:rsid w:val="007C22CC"/>
    <w:rsid w:val="007C5695"/>
    <w:rsid w:val="007C6CB1"/>
    <w:rsid w:val="007D2F59"/>
    <w:rsid w:val="007D3E5C"/>
    <w:rsid w:val="007D57C3"/>
    <w:rsid w:val="007D592B"/>
    <w:rsid w:val="007D5AA6"/>
    <w:rsid w:val="007D69C4"/>
    <w:rsid w:val="007D7A91"/>
    <w:rsid w:val="007E1071"/>
    <w:rsid w:val="007E3891"/>
    <w:rsid w:val="007E488B"/>
    <w:rsid w:val="007E4F2B"/>
    <w:rsid w:val="007E6185"/>
    <w:rsid w:val="007E6456"/>
    <w:rsid w:val="007E7FBE"/>
    <w:rsid w:val="007F5077"/>
    <w:rsid w:val="007F5552"/>
    <w:rsid w:val="007F7381"/>
    <w:rsid w:val="007F7D10"/>
    <w:rsid w:val="00800FA9"/>
    <w:rsid w:val="00802245"/>
    <w:rsid w:val="008023EA"/>
    <w:rsid w:val="008035C8"/>
    <w:rsid w:val="0080369B"/>
    <w:rsid w:val="0080519E"/>
    <w:rsid w:val="0080563C"/>
    <w:rsid w:val="00811943"/>
    <w:rsid w:val="00811E6F"/>
    <w:rsid w:val="00812640"/>
    <w:rsid w:val="00816C2C"/>
    <w:rsid w:val="0082065F"/>
    <w:rsid w:val="00820A2F"/>
    <w:rsid w:val="00820C3C"/>
    <w:rsid w:val="00821923"/>
    <w:rsid w:val="00822564"/>
    <w:rsid w:val="00823D0D"/>
    <w:rsid w:val="00825647"/>
    <w:rsid w:val="0082576A"/>
    <w:rsid w:val="008263DF"/>
    <w:rsid w:val="0082672E"/>
    <w:rsid w:val="00830776"/>
    <w:rsid w:val="00830CA7"/>
    <w:rsid w:val="008311B8"/>
    <w:rsid w:val="00832757"/>
    <w:rsid w:val="0083384E"/>
    <w:rsid w:val="00834104"/>
    <w:rsid w:val="00834243"/>
    <w:rsid w:val="00844BE8"/>
    <w:rsid w:val="00845071"/>
    <w:rsid w:val="00845566"/>
    <w:rsid w:val="008466B4"/>
    <w:rsid w:val="0085024A"/>
    <w:rsid w:val="00851B01"/>
    <w:rsid w:val="00852214"/>
    <w:rsid w:val="00854C33"/>
    <w:rsid w:val="0085505D"/>
    <w:rsid w:val="008556BB"/>
    <w:rsid w:val="0085670A"/>
    <w:rsid w:val="00856B5B"/>
    <w:rsid w:val="00857969"/>
    <w:rsid w:val="00860F1E"/>
    <w:rsid w:val="00861227"/>
    <w:rsid w:val="00861AF6"/>
    <w:rsid w:val="0086342E"/>
    <w:rsid w:val="00866466"/>
    <w:rsid w:val="008664F8"/>
    <w:rsid w:val="008667D1"/>
    <w:rsid w:val="008708CD"/>
    <w:rsid w:val="00877D7F"/>
    <w:rsid w:val="00882CC4"/>
    <w:rsid w:val="008836FB"/>
    <w:rsid w:val="008844AC"/>
    <w:rsid w:val="00885CAF"/>
    <w:rsid w:val="00885FC8"/>
    <w:rsid w:val="008948FE"/>
    <w:rsid w:val="008A1FAA"/>
    <w:rsid w:val="008B19A4"/>
    <w:rsid w:val="008B3120"/>
    <w:rsid w:val="008B3D5D"/>
    <w:rsid w:val="008B6346"/>
    <w:rsid w:val="008B6FEC"/>
    <w:rsid w:val="008C00BD"/>
    <w:rsid w:val="008C0764"/>
    <w:rsid w:val="008C4675"/>
    <w:rsid w:val="008C6763"/>
    <w:rsid w:val="008C6E80"/>
    <w:rsid w:val="008C71E5"/>
    <w:rsid w:val="008C7F71"/>
    <w:rsid w:val="008D0E7C"/>
    <w:rsid w:val="008D2BB0"/>
    <w:rsid w:val="008D302D"/>
    <w:rsid w:val="008D339F"/>
    <w:rsid w:val="008D35A0"/>
    <w:rsid w:val="008D45DA"/>
    <w:rsid w:val="008D5492"/>
    <w:rsid w:val="008D5E01"/>
    <w:rsid w:val="008D640F"/>
    <w:rsid w:val="008D6DC2"/>
    <w:rsid w:val="008D7E99"/>
    <w:rsid w:val="008E2419"/>
    <w:rsid w:val="008E4FEC"/>
    <w:rsid w:val="008E6292"/>
    <w:rsid w:val="008E704F"/>
    <w:rsid w:val="008E7625"/>
    <w:rsid w:val="008F23EB"/>
    <w:rsid w:val="008F3EA4"/>
    <w:rsid w:val="008F4016"/>
    <w:rsid w:val="008F523F"/>
    <w:rsid w:val="008F7D2A"/>
    <w:rsid w:val="00901BC8"/>
    <w:rsid w:val="0090356C"/>
    <w:rsid w:val="009059EC"/>
    <w:rsid w:val="0090657C"/>
    <w:rsid w:val="00907235"/>
    <w:rsid w:val="00907D98"/>
    <w:rsid w:val="009103EB"/>
    <w:rsid w:val="009133EF"/>
    <w:rsid w:val="00917BE3"/>
    <w:rsid w:val="00917E28"/>
    <w:rsid w:val="00923DAC"/>
    <w:rsid w:val="00925305"/>
    <w:rsid w:val="00925AA5"/>
    <w:rsid w:val="00927C9A"/>
    <w:rsid w:val="0093195C"/>
    <w:rsid w:val="0093540D"/>
    <w:rsid w:val="00937173"/>
    <w:rsid w:val="00937639"/>
    <w:rsid w:val="00937CF8"/>
    <w:rsid w:val="0094019D"/>
    <w:rsid w:val="00941321"/>
    <w:rsid w:val="00941BD8"/>
    <w:rsid w:val="00942C11"/>
    <w:rsid w:val="0094351F"/>
    <w:rsid w:val="00943CD9"/>
    <w:rsid w:val="00944E42"/>
    <w:rsid w:val="00951FF3"/>
    <w:rsid w:val="009547F8"/>
    <w:rsid w:val="0095735E"/>
    <w:rsid w:val="00960873"/>
    <w:rsid w:val="0096366B"/>
    <w:rsid w:val="0096373E"/>
    <w:rsid w:val="009645C0"/>
    <w:rsid w:val="00965011"/>
    <w:rsid w:val="0096521D"/>
    <w:rsid w:val="009711CE"/>
    <w:rsid w:val="009729D4"/>
    <w:rsid w:val="00973F39"/>
    <w:rsid w:val="00974384"/>
    <w:rsid w:val="00974687"/>
    <w:rsid w:val="00976FBD"/>
    <w:rsid w:val="00980759"/>
    <w:rsid w:val="00980E66"/>
    <w:rsid w:val="009810E6"/>
    <w:rsid w:val="009817B0"/>
    <w:rsid w:val="009821CE"/>
    <w:rsid w:val="00984480"/>
    <w:rsid w:val="0098523E"/>
    <w:rsid w:val="00985B99"/>
    <w:rsid w:val="009873D2"/>
    <w:rsid w:val="00990646"/>
    <w:rsid w:val="009A1CD8"/>
    <w:rsid w:val="009A277C"/>
    <w:rsid w:val="009A406D"/>
    <w:rsid w:val="009A453F"/>
    <w:rsid w:val="009A658F"/>
    <w:rsid w:val="009B07DA"/>
    <w:rsid w:val="009B21B9"/>
    <w:rsid w:val="009B2411"/>
    <w:rsid w:val="009B644A"/>
    <w:rsid w:val="009B6B2D"/>
    <w:rsid w:val="009C0E4C"/>
    <w:rsid w:val="009C1438"/>
    <w:rsid w:val="009C18B8"/>
    <w:rsid w:val="009C1D3C"/>
    <w:rsid w:val="009C585C"/>
    <w:rsid w:val="009C63EE"/>
    <w:rsid w:val="009C7ABC"/>
    <w:rsid w:val="009D406E"/>
    <w:rsid w:val="009D47E5"/>
    <w:rsid w:val="009D5052"/>
    <w:rsid w:val="009D517F"/>
    <w:rsid w:val="009D562D"/>
    <w:rsid w:val="009D65DB"/>
    <w:rsid w:val="009D7710"/>
    <w:rsid w:val="009E04AC"/>
    <w:rsid w:val="009E171B"/>
    <w:rsid w:val="009E221A"/>
    <w:rsid w:val="009E25BB"/>
    <w:rsid w:val="009E3FFC"/>
    <w:rsid w:val="009F3883"/>
    <w:rsid w:val="009F5294"/>
    <w:rsid w:val="009F764B"/>
    <w:rsid w:val="00A0050D"/>
    <w:rsid w:val="00A015E8"/>
    <w:rsid w:val="00A01AD3"/>
    <w:rsid w:val="00A02704"/>
    <w:rsid w:val="00A0339E"/>
    <w:rsid w:val="00A049BA"/>
    <w:rsid w:val="00A05919"/>
    <w:rsid w:val="00A06F2D"/>
    <w:rsid w:val="00A0737F"/>
    <w:rsid w:val="00A07D47"/>
    <w:rsid w:val="00A10F55"/>
    <w:rsid w:val="00A124C0"/>
    <w:rsid w:val="00A12F62"/>
    <w:rsid w:val="00A14FE9"/>
    <w:rsid w:val="00A23268"/>
    <w:rsid w:val="00A2573D"/>
    <w:rsid w:val="00A26AB2"/>
    <w:rsid w:val="00A2712A"/>
    <w:rsid w:val="00A27216"/>
    <w:rsid w:val="00A275E3"/>
    <w:rsid w:val="00A336B9"/>
    <w:rsid w:val="00A3749B"/>
    <w:rsid w:val="00A37D87"/>
    <w:rsid w:val="00A45C4A"/>
    <w:rsid w:val="00A4783B"/>
    <w:rsid w:val="00A50D88"/>
    <w:rsid w:val="00A50DA9"/>
    <w:rsid w:val="00A52265"/>
    <w:rsid w:val="00A52B28"/>
    <w:rsid w:val="00A54A58"/>
    <w:rsid w:val="00A5545E"/>
    <w:rsid w:val="00A56080"/>
    <w:rsid w:val="00A562C9"/>
    <w:rsid w:val="00A56923"/>
    <w:rsid w:val="00A57656"/>
    <w:rsid w:val="00A62E42"/>
    <w:rsid w:val="00A64A4F"/>
    <w:rsid w:val="00A64A71"/>
    <w:rsid w:val="00A669EE"/>
    <w:rsid w:val="00A67DBF"/>
    <w:rsid w:val="00A72960"/>
    <w:rsid w:val="00A72D8F"/>
    <w:rsid w:val="00A7549C"/>
    <w:rsid w:val="00A778EE"/>
    <w:rsid w:val="00A80029"/>
    <w:rsid w:val="00A8307C"/>
    <w:rsid w:val="00A84FF1"/>
    <w:rsid w:val="00A85B69"/>
    <w:rsid w:val="00A869E9"/>
    <w:rsid w:val="00A93401"/>
    <w:rsid w:val="00A94C15"/>
    <w:rsid w:val="00A95582"/>
    <w:rsid w:val="00AA17C5"/>
    <w:rsid w:val="00AA22A0"/>
    <w:rsid w:val="00AA2EC7"/>
    <w:rsid w:val="00AA53BB"/>
    <w:rsid w:val="00AA58C2"/>
    <w:rsid w:val="00AA6929"/>
    <w:rsid w:val="00AB0427"/>
    <w:rsid w:val="00AB4274"/>
    <w:rsid w:val="00AB5FA7"/>
    <w:rsid w:val="00AC0148"/>
    <w:rsid w:val="00AC0D12"/>
    <w:rsid w:val="00AC2C68"/>
    <w:rsid w:val="00AC3196"/>
    <w:rsid w:val="00AC3818"/>
    <w:rsid w:val="00AE269B"/>
    <w:rsid w:val="00AE2F90"/>
    <w:rsid w:val="00AE446D"/>
    <w:rsid w:val="00AE7FE3"/>
    <w:rsid w:val="00AF0BA0"/>
    <w:rsid w:val="00AF364C"/>
    <w:rsid w:val="00AF7075"/>
    <w:rsid w:val="00B006E0"/>
    <w:rsid w:val="00B03800"/>
    <w:rsid w:val="00B03DD6"/>
    <w:rsid w:val="00B040C2"/>
    <w:rsid w:val="00B045DD"/>
    <w:rsid w:val="00B0630D"/>
    <w:rsid w:val="00B0677C"/>
    <w:rsid w:val="00B1177E"/>
    <w:rsid w:val="00B11B27"/>
    <w:rsid w:val="00B11CCA"/>
    <w:rsid w:val="00B1381D"/>
    <w:rsid w:val="00B138DB"/>
    <w:rsid w:val="00B13E28"/>
    <w:rsid w:val="00B14695"/>
    <w:rsid w:val="00B16172"/>
    <w:rsid w:val="00B17197"/>
    <w:rsid w:val="00B17378"/>
    <w:rsid w:val="00B21F97"/>
    <w:rsid w:val="00B25657"/>
    <w:rsid w:val="00B25D85"/>
    <w:rsid w:val="00B262C3"/>
    <w:rsid w:val="00B30A34"/>
    <w:rsid w:val="00B32942"/>
    <w:rsid w:val="00B3382F"/>
    <w:rsid w:val="00B33BE6"/>
    <w:rsid w:val="00B33EFD"/>
    <w:rsid w:val="00B3583B"/>
    <w:rsid w:val="00B36132"/>
    <w:rsid w:val="00B3791C"/>
    <w:rsid w:val="00B37A8F"/>
    <w:rsid w:val="00B44192"/>
    <w:rsid w:val="00B44DA1"/>
    <w:rsid w:val="00B457B5"/>
    <w:rsid w:val="00B46837"/>
    <w:rsid w:val="00B47CBB"/>
    <w:rsid w:val="00B51487"/>
    <w:rsid w:val="00B51D75"/>
    <w:rsid w:val="00B56E98"/>
    <w:rsid w:val="00B61DE1"/>
    <w:rsid w:val="00B61F11"/>
    <w:rsid w:val="00B63A9B"/>
    <w:rsid w:val="00B6459E"/>
    <w:rsid w:val="00B65347"/>
    <w:rsid w:val="00B65471"/>
    <w:rsid w:val="00B65DE1"/>
    <w:rsid w:val="00B67BC0"/>
    <w:rsid w:val="00B70E8D"/>
    <w:rsid w:val="00B71941"/>
    <w:rsid w:val="00B747ED"/>
    <w:rsid w:val="00B800CF"/>
    <w:rsid w:val="00B854C3"/>
    <w:rsid w:val="00B87927"/>
    <w:rsid w:val="00B9348B"/>
    <w:rsid w:val="00B93FF4"/>
    <w:rsid w:val="00B944B6"/>
    <w:rsid w:val="00B9539E"/>
    <w:rsid w:val="00B97529"/>
    <w:rsid w:val="00BA2414"/>
    <w:rsid w:val="00BA3129"/>
    <w:rsid w:val="00BA45D2"/>
    <w:rsid w:val="00BA4C3F"/>
    <w:rsid w:val="00BA5AC5"/>
    <w:rsid w:val="00BB1CE9"/>
    <w:rsid w:val="00BB2F5B"/>
    <w:rsid w:val="00BB60FF"/>
    <w:rsid w:val="00BB64B7"/>
    <w:rsid w:val="00BB6ABE"/>
    <w:rsid w:val="00BB7879"/>
    <w:rsid w:val="00BB7B13"/>
    <w:rsid w:val="00BC1612"/>
    <w:rsid w:val="00BC2124"/>
    <w:rsid w:val="00BC22EC"/>
    <w:rsid w:val="00BC7677"/>
    <w:rsid w:val="00BD0017"/>
    <w:rsid w:val="00BD028C"/>
    <w:rsid w:val="00BD26AA"/>
    <w:rsid w:val="00BD312B"/>
    <w:rsid w:val="00BD454F"/>
    <w:rsid w:val="00BD4EE6"/>
    <w:rsid w:val="00BD51EA"/>
    <w:rsid w:val="00BE10EF"/>
    <w:rsid w:val="00BE121C"/>
    <w:rsid w:val="00BE472E"/>
    <w:rsid w:val="00BE6768"/>
    <w:rsid w:val="00BF3121"/>
    <w:rsid w:val="00BF3F5F"/>
    <w:rsid w:val="00BF5A1C"/>
    <w:rsid w:val="00BF6F55"/>
    <w:rsid w:val="00BF7A73"/>
    <w:rsid w:val="00C01DCC"/>
    <w:rsid w:val="00C0226B"/>
    <w:rsid w:val="00C07921"/>
    <w:rsid w:val="00C07A22"/>
    <w:rsid w:val="00C12848"/>
    <w:rsid w:val="00C1489E"/>
    <w:rsid w:val="00C16E9D"/>
    <w:rsid w:val="00C202B3"/>
    <w:rsid w:val="00C21EE0"/>
    <w:rsid w:val="00C233E3"/>
    <w:rsid w:val="00C24D9F"/>
    <w:rsid w:val="00C26E75"/>
    <w:rsid w:val="00C27EFF"/>
    <w:rsid w:val="00C30297"/>
    <w:rsid w:val="00C31446"/>
    <w:rsid w:val="00C3336A"/>
    <w:rsid w:val="00C337D1"/>
    <w:rsid w:val="00C40CE8"/>
    <w:rsid w:val="00C52E84"/>
    <w:rsid w:val="00C532EF"/>
    <w:rsid w:val="00C54F8B"/>
    <w:rsid w:val="00C566E0"/>
    <w:rsid w:val="00C57A98"/>
    <w:rsid w:val="00C63055"/>
    <w:rsid w:val="00C646F8"/>
    <w:rsid w:val="00C651E8"/>
    <w:rsid w:val="00C71054"/>
    <w:rsid w:val="00C71158"/>
    <w:rsid w:val="00C72318"/>
    <w:rsid w:val="00C7249F"/>
    <w:rsid w:val="00C724E6"/>
    <w:rsid w:val="00C72671"/>
    <w:rsid w:val="00C72911"/>
    <w:rsid w:val="00C743F7"/>
    <w:rsid w:val="00C747A5"/>
    <w:rsid w:val="00C77872"/>
    <w:rsid w:val="00C803F8"/>
    <w:rsid w:val="00C85314"/>
    <w:rsid w:val="00C9044B"/>
    <w:rsid w:val="00C91CBB"/>
    <w:rsid w:val="00C925D0"/>
    <w:rsid w:val="00C936A5"/>
    <w:rsid w:val="00C96923"/>
    <w:rsid w:val="00C96DAF"/>
    <w:rsid w:val="00C97A13"/>
    <w:rsid w:val="00CA0116"/>
    <w:rsid w:val="00CA07C7"/>
    <w:rsid w:val="00CA34F8"/>
    <w:rsid w:val="00CA4645"/>
    <w:rsid w:val="00CA4BC0"/>
    <w:rsid w:val="00CA5CA8"/>
    <w:rsid w:val="00CB0157"/>
    <w:rsid w:val="00CB110F"/>
    <w:rsid w:val="00CB3048"/>
    <w:rsid w:val="00CB38EB"/>
    <w:rsid w:val="00CB5205"/>
    <w:rsid w:val="00CC0852"/>
    <w:rsid w:val="00CC5059"/>
    <w:rsid w:val="00CC559D"/>
    <w:rsid w:val="00CC56DE"/>
    <w:rsid w:val="00CD654B"/>
    <w:rsid w:val="00CD6897"/>
    <w:rsid w:val="00CD7750"/>
    <w:rsid w:val="00CE08D6"/>
    <w:rsid w:val="00CE09A3"/>
    <w:rsid w:val="00CE15AB"/>
    <w:rsid w:val="00CE223E"/>
    <w:rsid w:val="00CE66FD"/>
    <w:rsid w:val="00CF1C0D"/>
    <w:rsid w:val="00CF3168"/>
    <w:rsid w:val="00CF3F0D"/>
    <w:rsid w:val="00CF4D3E"/>
    <w:rsid w:val="00CF52C0"/>
    <w:rsid w:val="00CF7B14"/>
    <w:rsid w:val="00CF7DA5"/>
    <w:rsid w:val="00D01BA6"/>
    <w:rsid w:val="00D02AB8"/>
    <w:rsid w:val="00D03DED"/>
    <w:rsid w:val="00D07404"/>
    <w:rsid w:val="00D101F7"/>
    <w:rsid w:val="00D145F5"/>
    <w:rsid w:val="00D14CDB"/>
    <w:rsid w:val="00D14F42"/>
    <w:rsid w:val="00D15C73"/>
    <w:rsid w:val="00D15FAD"/>
    <w:rsid w:val="00D16A08"/>
    <w:rsid w:val="00D20A47"/>
    <w:rsid w:val="00D306AC"/>
    <w:rsid w:val="00D3103E"/>
    <w:rsid w:val="00D316C8"/>
    <w:rsid w:val="00D33726"/>
    <w:rsid w:val="00D355F0"/>
    <w:rsid w:val="00D37B63"/>
    <w:rsid w:val="00D43AC8"/>
    <w:rsid w:val="00D44460"/>
    <w:rsid w:val="00D44895"/>
    <w:rsid w:val="00D44919"/>
    <w:rsid w:val="00D451A5"/>
    <w:rsid w:val="00D50A9A"/>
    <w:rsid w:val="00D50D57"/>
    <w:rsid w:val="00D513A9"/>
    <w:rsid w:val="00D53EBC"/>
    <w:rsid w:val="00D54E2F"/>
    <w:rsid w:val="00D552A2"/>
    <w:rsid w:val="00D56113"/>
    <w:rsid w:val="00D56709"/>
    <w:rsid w:val="00D601F0"/>
    <w:rsid w:val="00D61DF3"/>
    <w:rsid w:val="00D6389E"/>
    <w:rsid w:val="00D63EC1"/>
    <w:rsid w:val="00D70F6A"/>
    <w:rsid w:val="00D710C9"/>
    <w:rsid w:val="00D7177E"/>
    <w:rsid w:val="00D749D6"/>
    <w:rsid w:val="00D74F21"/>
    <w:rsid w:val="00D75650"/>
    <w:rsid w:val="00D8331E"/>
    <w:rsid w:val="00D833D9"/>
    <w:rsid w:val="00D83BD9"/>
    <w:rsid w:val="00D84C01"/>
    <w:rsid w:val="00D864C6"/>
    <w:rsid w:val="00D8707E"/>
    <w:rsid w:val="00D91284"/>
    <w:rsid w:val="00D94DCF"/>
    <w:rsid w:val="00D94EAE"/>
    <w:rsid w:val="00D9540B"/>
    <w:rsid w:val="00D95EA4"/>
    <w:rsid w:val="00D961BB"/>
    <w:rsid w:val="00DA0952"/>
    <w:rsid w:val="00DA12AC"/>
    <w:rsid w:val="00DA2D4A"/>
    <w:rsid w:val="00DA586F"/>
    <w:rsid w:val="00DA5B32"/>
    <w:rsid w:val="00DA69C5"/>
    <w:rsid w:val="00DA7013"/>
    <w:rsid w:val="00DB08DA"/>
    <w:rsid w:val="00DB0D8E"/>
    <w:rsid w:val="00DB2F01"/>
    <w:rsid w:val="00DB2F2F"/>
    <w:rsid w:val="00DB3BCA"/>
    <w:rsid w:val="00DB4DF8"/>
    <w:rsid w:val="00DB7F09"/>
    <w:rsid w:val="00DC00E8"/>
    <w:rsid w:val="00DC0862"/>
    <w:rsid w:val="00DC1C56"/>
    <w:rsid w:val="00DC26C9"/>
    <w:rsid w:val="00DC28A2"/>
    <w:rsid w:val="00DC35B5"/>
    <w:rsid w:val="00DC4756"/>
    <w:rsid w:val="00DC4828"/>
    <w:rsid w:val="00DC6379"/>
    <w:rsid w:val="00DC6ABA"/>
    <w:rsid w:val="00DC78C3"/>
    <w:rsid w:val="00DD0134"/>
    <w:rsid w:val="00DD3E91"/>
    <w:rsid w:val="00DD6139"/>
    <w:rsid w:val="00DE1847"/>
    <w:rsid w:val="00DE3C77"/>
    <w:rsid w:val="00DE4A4A"/>
    <w:rsid w:val="00DE5E92"/>
    <w:rsid w:val="00DE712C"/>
    <w:rsid w:val="00DF0E0F"/>
    <w:rsid w:val="00DF3698"/>
    <w:rsid w:val="00DF38B1"/>
    <w:rsid w:val="00DF42EC"/>
    <w:rsid w:val="00DF6F61"/>
    <w:rsid w:val="00E0193C"/>
    <w:rsid w:val="00E02B82"/>
    <w:rsid w:val="00E076D5"/>
    <w:rsid w:val="00E101C6"/>
    <w:rsid w:val="00E22D51"/>
    <w:rsid w:val="00E2486B"/>
    <w:rsid w:val="00E3026D"/>
    <w:rsid w:val="00E31A2B"/>
    <w:rsid w:val="00E377F6"/>
    <w:rsid w:val="00E40A04"/>
    <w:rsid w:val="00E44FB8"/>
    <w:rsid w:val="00E45740"/>
    <w:rsid w:val="00E46482"/>
    <w:rsid w:val="00E5060F"/>
    <w:rsid w:val="00E508C4"/>
    <w:rsid w:val="00E50E7C"/>
    <w:rsid w:val="00E51523"/>
    <w:rsid w:val="00E51545"/>
    <w:rsid w:val="00E51D9E"/>
    <w:rsid w:val="00E537D1"/>
    <w:rsid w:val="00E567E6"/>
    <w:rsid w:val="00E56971"/>
    <w:rsid w:val="00E57CE3"/>
    <w:rsid w:val="00E609B2"/>
    <w:rsid w:val="00E61484"/>
    <w:rsid w:val="00E63903"/>
    <w:rsid w:val="00E667FD"/>
    <w:rsid w:val="00E66B65"/>
    <w:rsid w:val="00E672CE"/>
    <w:rsid w:val="00E7103A"/>
    <w:rsid w:val="00E711D7"/>
    <w:rsid w:val="00E7253F"/>
    <w:rsid w:val="00E72CDE"/>
    <w:rsid w:val="00E733F9"/>
    <w:rsid w:val="00E75334"/>
    <w:rsid w:val="00E75E74"/>
    <w:rsid w:val="00E815C2"/>
    <w:rsid w:val="00E815E1"/>
    <w:rsid w:val="00E82661"/>
    <w:rsid w:val="00E83143"/>
    <w:rsid w:val="00E83EFC"/>
    <w:rsid w:val="00E86F54"/>
    <w:rsid w:val="00E874A9"/>
    <w:rsid w:val="00E902B0"/>
    <w:rsid w:val="00E902E8"/>
    <w:rsid w:val="00E90DBC"/>
    <w:rsid w:val="00E926B8"/>
    <w:rsid w:val="00E94686"/>
    <w:rsid w:val="00E95C25"/>
    <w:rsid w:val="00E96B1F"/>
    <w:rsid w:val="00EA23AC"/>
    <w:rsid w:val="00EA2642"/>
    <w:rsid w:val="00EA44A7"/>
    <w:rsid w:val="00EA463E"/>
    <w:rsid w:val="00EA4A02"/>
    <w:rsid w:val="00EA5E5D"/>
    <w:rsid w:val="00EA61B9"/>
    <w:rsid w:val="00EA7C3D"/>
    <w:rsid w:val="00EB2106"/>
    <w:rsid w:val="00EB2A4A"/>
    <w:rsid w:val="00EB5F67"/>
    <w:rsid w:val="00EB61F5"/>
    <w:rsid w:val="00EB6878"/>
    <w:rsid w:val="00EB706A"/>
    <w:rsid w:val="00EB7404"/>
    <w:rsid w:val="00EB77C8"/>
    <w:rsid w:val="00EC1457"/>
    <w:rsid w:val="00EC1770"/>
    <w:rsid w:val="00EC1E0E"/>
    <w:rsid w:val="00EC236D"/>
    <w:rsid w:val="00EC408C"/>
    <w:rsid w:val="00EC4F45"/>
    <w:rsid w:val="00EC54E1"/>
    <w:rsid w:val="00EC6B16"/>
    <w:rsid w:val="00EC6D57"/>
    <w:rsid w:val="00ED05AD"/>
    <w:rsid w:val="00ED26D7"/>
    <w:rsid w:val="00ED2F45"/>
    <w:rsid w:val="00ED32D3"/>
    <w:rsid w:val="00ED398C"/>
    <w:rsid w:val="00ED7C86"/>
    <w:rsid w:val="00EE1447"/>
    <w:rsid w:val="00EE47A8"/>
    <w:rsid w:val="00EE4A5D"/>
    <w:rsid w:val="00EE6F90"/>
    <w:rsid w:val="00EE7E38"/>
    <w:rsid w:val="00EF01D5"/>
    <w:rsid w:val="00EF07C0"/>
    <w:rsid w:val="00EF145E"/>
    <w:rsid w:val="00EF2BBB"/>
    <w:rsid w:val="00EF343A"/>
    <w:rsid w:val="00EF41D5"/>
    <w:rsid w:val="00EF668E"/>
    <w:rsid w:val="00F0082D"/>
    <w:rsid w:val="00F015AB"/>
    <w:rsid w:val="00F042E5"/>
    <w:rsid w:val="00F07C90"/>
    <w:rsid w:val="00F1044E"/>
    <w:rsid w:val="00F1178E"/>
    <w:rsid w:val="00F13BC3"/>
    <w:rsid w:val="00F14C87"/>
    <w:rsid w:val="00F2465F"/>
    <w:rsid w:val="00F26788"/>
    <w:rsid w:val="00F311C2"/>
    <w:rsid w:val="00F33112"/>
    <w:rsid w:val="00F33DB8"/>
    <w:rsid w:val="00F3441C"/>
    <w:rsid w:val="00F354EC"/>
    <w:rsid w:val="00F378C5"/>
    <w:rsid w:val="00F40A9B"/>
    <w:rsid w:val="00F40EE3"/>
    <w:rsid w:val="00F4505F"/>
    <w:rsid w:val="00F467FB"/>
    <w:rsid w:val="00F53A75"/>
    <w:rsid w:val="00F543E6"/>
    <w:rsid w:val="00F55CF2"/>
    <w:rsid w:val="00F55D56"/>
    <w:rsid w:val="00F57BED"/>
    <w:rsid w:val="00F57CE2"/>
    <w:rsid w:val="00F57DB9"/>
    <w:rsid w:val="00F60198"/>
    <w:rsid w:val="00F6136A"/>
    <w:rsid w:val="00F6227F"/>
    <w:rsid w:val="00F66E75"/>
    <w:rsid w:val="00F67E14"/>
    <w:rsid w:val="00F71E74"/>
    <w:rsid w:val="00F73AE5"/>
    <w:rsid w:val="00F73B26"/>
    <w:rsid w:val="00F760C5"/>
    <w:rsid w:val="00F7613A"/>
    <w:rsid w:val="00F77D45"/>
    <w:rsid w:val="00F821B0"/>
    <w:rsid w:val="00F82746"/>
    <w:rsid w:val="00F836F9"/>
    <w:rsid w:val="00F83F8D"/>
    <w:rsid w:val="00F84475"/>
    <w:rsid w:val="00F845D7"/>
    <w:rsid w:val="00F850BB"/>
    <w:rsid w:val="00F8646C"/>
    <w:rsid w:val="00F918A9"/>
    <w:rsid w:val="00F92279"/>
    <w:rsid w:val="00F93C00"/>
    <w:rsid w:val="00F9619D"/>
    <w:rsid w:val="00F96290"/>
    <w:rsid w:val="00F9650E"/>
    <w:rsid w:val="00F96EC9"/>
    <w:rsid w:val="00F97C84"/>
    <w:rsid w:val="00FA1656"/>
    <w:rsid w:val="00FA1707"/>
    <w:rsid w:val="00FA19B4"/>
    <w:rsid w:val="00FA2245"/>
    <w:rsid w:val="00FA338A"/>
    <w:rsid w:val="00FA4A31"/>
    <w:rsid w:val="00FA5053"/>
    <w:rsid w:val="00FA78C5"/>
    <w:rsid w:val="00FB0F11"/>
    <w:rsid w:val="00FB3B89"/>
    <w:rsid w:val="00FB4D21"/>
    <w:rsid w:val="00FB60C1"/>
    <w:rsid w:val="00FB679B"/>
    <w:rsid w:val="00FB762B"/>
    <w:rsid w:val="00FC01D3"/>
    <w:rsid w:val="00FC6590"/>
    <w:rsid w:val="00FC6ADA"/>
    <w:rsid w:val="00FC7AA6"/>
    <w:rsid w:val="00FD36A6"/>
    <w:rsid w:val="00FD3F43"/>
    <w:rsid w:val="00FD5127"/>
    <w:rsid w:val="00FE2061"/>
    <w:rsid w:val="00FE3484"/>
    <w:rsid w:val="00FE4468"/>
    <w:rsid w:val="00FE5136"/>
    <w:rsid w:val="00FE57A4"/>
    <w:rsid w:val="00FF35A4"/>
    <w:rsid w:val="00FF447A"/>
    <w:rsid w:val="00FF4D37"/>
    <w:rsid w:val="00FF688F"/>
    <w:rsid w:val="00FF6C54"/>
    <w:rsid w:val="00FF6FFE"/>
    <w:rsid w:val="00FF71E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6B77B446"/>
  <w15:docId w15:val="{E580D274-EAF3-4D60-8212-91903A7C1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6AA"/>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475085"/>
    <w:pPr>
      <w:spacing w:before="480"/>
      <w:outlineLvl w:val="0"/>
    </w:pPr>
    <w:rPr>
      <w:bCs w:val="0"/>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6564D3"/>
    <w:pPr>
      <w:spacing w:before="240"/>
      <w:outlineLvl w:val="2"/>
    </w:pPr>
    <w:rPr>
      <w:bCs w:val="0"/>
      <w:color w:val="185E7A" w:themeColor="accent2"/>
      <w:sz w:val="28"/>
      <w:szCs w:val="26"/>
    </w:rPr>
  </w:style>
  <w:style w:type="paragraph" w:styleId="Heading4">
    <w:name w:val="heading 4"/>
    <w:basedOn w:val="HeadingBase"/>
    <w:next w:val="Normal"/>
    <w:link w:val="Heading4Char"/>
    <w:qFormat/>
    <w:rsid w:val="006564D3"/>
    <w:pPr>
      <w:outlineLvl w:val="3"/>
    </w:pPr>
    <w:rPr>
      <w:bCs w:val="0"/>
      <w:color w:val="185E7A" w:themeColor="accent2"/>
      <w:sz w:val="26"/>
      <w:szCs w:val="26"/>
    </w:rPr>
  </w:style>
  <w:style w:type="paragraph" w:styleId="Heading5">
    <w:name w:val="heading 5"/>
    <w:basedOn w:val="HeadingBase"/>
    <w:next w:val="Normal"/>
    <w:link w:val="Heading5Char"/>
    <w:qFormat/>
    <w:rsid w:val="001972D2"/>
    <w:pPr>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paragraph" w:styleId="Heading7">
    <w:name w:val="heading 7"/>
    <w:basedOn w:val="Normal"/>
    <w:next w:val="Normal"/>
    <w:link w:val="Heading7Char"/>
    <w:uiPriority w:val="9"/>
    <w:semiHidden/>
    <w:unhideWhenUsed/>
    <w:qFormat/>
    <w:rsid w:val="00464D63"/>
    <w:pPr>
      <w:keepNext/>
      <w:keepLines/>
      <w:spacing w:before="40" w:after="0"/>
      <w:outlineLvl w:val="6"/>
    </w:pPr>
    <w:rPr>
      <w:rFonts w:asciiTheme="majorHAnsi" w:eastAsiaTheme="majorEastAsia" w:hAnsiTheme="majorHAnsi" w:cstheme="majorBidi"/>
      <w:i/>
      <w:iCs/>
      <w:color w:val="0E121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5085"/>
    <w:rPr>
      <w:rFonts w:ascii="Calibri" w:eastAsia="Times New Roman" w:hAnsi="Calibri" w:cs="Arial"/>
      <w:color w:val="004A7F"/>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6564D3"/>
    <w:rPr>
      <w:rFonts w:ascii="Calibri" w:eastAsia="Times New Roman" w:hAnsi="Calibri" w:cs="Arial"/>
      <w:color w:val="185E7A" w:themeColor="accent2"/>
      <w:kern w:val="32"/>
      <w:sz w:val="28"/>
      <w:szCs w:val="26"/>
      <w:lang w:eastAsia="en-AU"/>
    </w:rPr>
  </w:style>
  <w:style w:type="character" w:customStyle="1" w:styleId="Heading4Char">
    <w:name w:val="Heading 4 Char"/>
    <w:basedOn w:val="DefaultParagraphFont"/>
    <w:link w:val="Heading4"/>
    <w:rsid w:val="006564D3"/>
    <w:rPr>
      <w:rFonts w:ascii="Calibri" w:eastAsia="Times New Roman" w:hAnsi="Calibri" w:cs="Arial"/>
      <w:color w:val="185E7A" w:themeColor="accent2"/>
      <w:kern w:val="32"/>
      <w:sz w:val="26"/>
      <w:szCs w:val="26"/>
      <w:lang w:eastAsia="en-AU"/>
    </w:rPr>
  </w:style>
  <w:style w:type="character" w:customStyle="1" w:styleId="Heading5Char">
    <w:name w:val="Heading 5 Char"/>
    <w:basedOn w:val="DefaultParagraphFont"/>
    <w:link w:val="Heading5"/>
    <w:rsid w:val="001972D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F93C00"/>
    <w:pPr>
      <w:keepNext/>
      <w:spacing w:before="240"/>
    </w:pPr>
    <w:rPr>
      <w:b/>
      <w:color w:val="1C2632" w:themeColor="accent1"/>
      <w:sz w:val="26"/>
      <w:szCs w:val="26"/>
    </w:rPr>
  </w:style>
  <w:style w:type="paragraph" w:customStyle="1" w:styleId="BoxText">
    <w:name w:val="Box Text"/>
    <w:basedOn w:val="Normal"/>
    <w:rsid w:val="000E0B74"/>
  </w:style>
  <w:style w:type="paragraph" w:customStyle="1" w:styleId="Bullet">
    <w:name w:val="Bullet"/>
    <w:basedOn w:val="Normal"/>
    <w:rsid w:val="000E0B74"/>
    <w:pPr>
      <w:numPr>
        <w:numId w:val="1"/>
      </w:numPr>
      <w:spacing w:before="0"/>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SecondHeading"/>
    <w:next w:val="ChartGraphic"/>
    <w:rsid w:val="00EE6F90"/>
    <w:rPr>
      <w:rFonts w:eastAsiaTheme="minorEastAsia"/>
    </w:r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564D3"/>
    <w:pPr>
      <w:jc w:val="center"/>
    </w:pPr>
  </w:style>
  <w:style w:type="paragraph" w:customStyle="1" w:styleId="ReportDate">
    <w:name w:val="Report Date"/>
    <w:basedOn w:val="Normal"/>
    <w:link w:val="ReportDateChar"/>
    <w:rsid w:val="006564D3"/>
    <w:pPr>
      <w:keepNext/>
      <w:spacing w:before="0" w:after="360"/>
    </w:pPr>
    <w:rPr>
      <w:color w:val="00818F" w:themeColor="accent5"/>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rsid w:val="006564D3"/>
    <w:rPr>
      <w:color w:val="185E7A"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185E7A" w:themeColor="accent2"/>
    </w:rPr>
  </w:style>
  <w:style w:type="paragraph" w:customStyle="1" w:styleId="TableColumnHeadingCentred">
    <w:name w:val="Table Column Heading Centred"/>
    <w:basedOn w:val="TableTextLeft"/>
    <w:rsid w:val="006564D3"/>
    <w:pPr>
      <w:jc w:val="center"/>
    </w:pPr>
    <w:rPr>
      <w:b/>
      <w:color w:val="1C2632" w:themeColor="accent1"/>
      <w:sz w:val="20"/>
    </w:rPr>
  </w:style>
  <w:style w:type="paragraph" w:customStyle="1" w:styleId="TableColumnHeadingLeft">
    <w:name w:val="Table Column Heading Left"/>
    <w:basedOn w:val="TableTextLeft"/>
    <w:rsid w:val="006564D3"/>
    <w:rPr>
      <w:b/>
      <w:color w:val="1C2632" w:themeColor="accent1"/>
      <w:sz w:val="20"/>
    </w:rPr>
  </w:style>
  <w:style w:type="paragraph" w:customStyle="1" w:styleId="TableColumnHeadingRight">
    <w:name w:val="Table Column Heading Right"/>
    <w:basedOn w:val="TableTextLeft"/>
    <w:rsid w:val="006564D3"/>
    <w:pPr>
      <w:jc w:val="right"/>
    </w:pPr>
    <w:rPr>
      <w:b/>
      <w:color w:val="1C2632"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4D3"/>
    <w:pPr>
      <w:keepNext/>
      <w:tabs>
        <w:tab w:val="right" w:leader="dot" w:pos="9072"/>
      </w:tabs>
      <w:spacing w:before="180" w:after="0"/>
      <w:ind w:right="-2"/>
    </w:pPr>
    <w:rPr>
      <w:b/>
      <w:noProof/>
      <w:color w:val="1C2632" w:themeColor="accent1"/>
      <w:szCs w:val="22"/>
    </w:rPr>
  </w:style>
  <w:style w:type="paragraph" w:styleId="TOC2">
    <w:name w:val="toc 2"/>
    <w:basedOn w:val="Normal"/>
    <w:next w:val="Normal"/>
    <w:uiPriority w:val="39"/>
    <w:qFormat/>
    <w:rsid w:val="006564D3"/>
    <w:pPr>
      <w:keepNext/>
      <w:tabs>
        <w:tab w:val="right" w:leader="dot" w:pos="9072"/>
      </w:tabs>
      <w:spacing w:before="40" w:after="20"/>
      <w:ind w:right="-2"/>
    </w:pPr>
    <w:rPr>
      <w:noProof/>
      <w:color w:val="1C2632" w:themeColor="accent1"/>
    </w:rPr>
  </w:style>
  <w:style w:type="paragraph" w:styleId="TOC3">
    <w:name w:val="toc 3"/>
    <w:basedOn w:val="Normal"/>
    <w:next w:val="Normal"/>
    <w:uiPriority w:val="39"/>
    <w:qFormat/>
    <w:rsid w:val="006564D3"/>
    <w:pPr>
      <w:tabs>
        <w:tab w:val="right" w:leader="dot" w:pos="9072"/>
      </w:tabs>
      <w:spacing w:before="20" w:after="0"/>
      <w:ind w:left="284" w:right="-2"/>
    </w:pPr>
    <w:rPr>
      <w:rFonts w:cs="Calibri"/>
      <w:noProof/>
      <w:color w:val="185E7A" w:themeColor="accen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1C2632"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6564D3"/>
    <w:pPr>
      <w:spacing w:before="0" w:after="300"/>
      <w:contextualSpacing/>
    </w:pPr>
    <w:rPr>
      <w:rFonts w:eastAsiaTheme="majorEastAsia" w:cstheme="majorBidi"/>
      <w:b/>
      <w:color w:val="1C2632" w:themeColor="accent1"/>
      <w:spacing w:val="5"/>
      <w:kern w:val="28"/>
      <w:sz w:val="72"/>
      <w:szCs w:val="52"/>
    </w:rPr>
  </w:style>
  <w:style w:type="character" w:customStyle="1" w:styleId="TitleChar">
    <w:name w:val="Title Char"/>
    <w:basedOn w:val="DefaultParagraphFont"/>
    <w:link w:val="Title"/>
    <w:uiPriority w:val="10"/>
    <w:rsid w:val="006564D3"/>
    <w:rPr>
      <w:rFonts w:ascii="Calibri" w:eastAsiaTheme="majorEastAsia" w:hAnsi="Calibri" w:cstheme="majorBidi"/>
      <w:b/>
      <w:color w:val="1C2632" w:themeColor="accent1"/>
      <w:spacing w:val="5"/>
      <w:kern w:val="28"/>
      <w:sz w:val="72"/>
      <w:szCs w:val="52"/>
      <w:lang w:eastAsia="en-AU"/>
    </w:rPr>
  </w:style>
  <w:style w:type="paragraph" w:styleId="Subtitle">
    <w:name w:val="Subtitle"/>
    <w:basedOn w:val="Normal"/>
    <w:next w:val="Normal"/>
    <w:link w:val="SubtitleChar"/>
    <w:uiPriority w:val="11"/>
    <w:qFormat/>
    <w:rsid w:val="006923DF"/>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uiPriority w:val="11"/>
    <w:rsid w:val="006923DF"/>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0E0B74"/>
    <w:rPr>
      <w:i/>
      <w:iCs/>
      <w:color w:val="7590B1"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1C2632" w:themeColor="accent1"/>
      <w:kern w:val="32"/>
      <w:sz w:val="48"/>
      <w:szCs w:val="36"/>
      <w:lang w:eastAsia="en-AU"/>
    </w:rPr>
  </w:style>
  <w:style w:type="character" w:customStyle="1" w:styleId="ReportDateChar">
    <w:name w:val="Report Date Char"/>
    <w:basedOn w:val="DefaultParagraphFont"/>
    <w:link w:val="ReportDate"/>
    <w:rsid w:val="006564D3"/>
    <w:rPr>
      <w:rFonts w:ascii="Calibri" w:eastAsia="Times New Roman" w:hAnsi="Calibri" w:cs="Times New Roman"/>
      <w:color w:val="00818F" w:themeColor="accent5"/>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0F3A4C" w:themeColor="text2"/>
      <w:sz w:val="22"/>
    </w:rPr>
  </w:style>
  <w:style w:type="character" w:customStyle="1" w:styleId="Heading7Char">
    <w:name w:val="Heading 7 Char"/>
    <w:basedOn w:val="DefaultParagraphFont"/>
    <w:link w:val="Heading7"/>
    <w:uiPriority w:val="9"/>
    <w:semiHidden/>
    <w:rsid w:val="00464D63"/>
    <w:rPr>
      <w:rFonts w:asciiTheme="majorHAnsi" w:eastAsiaTheme="majorEastAsia" w:hAnsiTheme="majorHAnsi" w:cstheme="majorBidi"/>
      <w:i/>
      <w:iCs/>
      <w:color w:val="0E1218"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paragraph" w:styleId="ListParagraph">
    <w:name w:val="List Paragraph"/>
    <w:basedOn w:val="Normal"/>
    <w:uiPriority w:val="34"/>
    <w:qFormat/>
    <w:rsid w:val="00AC3818"/>
    <w:pPr>
      <w:ind w:left="720"/>
      <w:contextualSpacing/>
    </w:pPr>
  </w:style>
  <w:style w:type="character" w:styleId="UnresolvedMention">
    <w:name w:val="Unresolved Mention"/>
    <w:basedOn w:val="DefaultParagraphFont"/>
    <w:uiPriority w:val="99"/>
    <w:semiHidden/>
    <w:unhideWhenUsed/>
    <w:rsid w:val="003B5853"/>
    <w:rPr>
      <w:color w:val="605E5C"/>
      <w:shd w:val="clear" w:color="auto" w:fill="E1DFDD"/>
    </w:rPr>
  </w:style>
  <w:style w:type="table" w:styleId="TableGridLight">
    <w:name w:val="Grid Table Light"/>
    <w:basedOn w:val="TableNormal"/>
    <w:uiPriority w:val="40"/>
    <w:rsid w:val="007A5F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EA5E5D"/>
    <w:rPr>
      <w:sz w:val="16"/>
      <w:szCs w:val="16"/>
    </w:rPr>
  </w:style>
  <w:style w:type="paragraph" w:styleId="CommentText">
    <w:name w:val="annotation text"/>
    <w:basedOn w:val="Normal"/>
    <w:link w:val="CommentTextChar"/>
    <w:uiPriority w:val="99"/>
    <w:unhideWhenUsed/>
    <w:rsid w:val="00EA5E5D"/>
    <w:rPr>
      <w:sz w:val="20"/>
    </w:rPr>
  </w:style>
  <w:style w:type="character" w:customStyle="1" w:styleId="CommentTextChar">
    <w:name w:val="Comment Text Char"/>
    <w:basedOn w:val="DefaultParagraphFont"/>
    <w:link w:val="CommentText"/>
    <w:uiPriority w:val="99"/>
    <w:rsid w:val="00EA5E5D"/>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A5E5D"/>
    <w:rPr>
      <w:b/>
      <w:bCs/>
    </w:rPr>
  </w:style>
  <w:style w:type="character" w:customStyle="1" w:styleId="CommentSubjectChar">
    <w:name w:val="Comment Subject Char"/>
    <w:basedOn w:val="CommentTextChar"/>
    <w:link w:val="CommentSubject"/>
    <w:uiPriority w:val="99"/>
    <w:semiHidden/>
    <w:rsid w:val="00EA5E5D"/>
    <w:rPr>
      <w:rFonts w:ascii="Calibri" w:eastAsia="Times New Roman" w:hAnsi="Calibri" w:cs="Times New Roman"/>
      <w:b/>
      <w:bCs/>
      <w:sz w:val="20"/>
      <w:szCs w:val="20"/>
      <w:lang w:eastAsia="en-AU"/>
    </w:rPr>
  </w:style>
  <w:style w:type="paragraph" w:styleId="Revision">
    <w:name w:val="Revision"/>
    <w:hidden/>
    <w:uiPriority w:val="99"/>
    <w:semiHidden/>
    <w:rsid w:val="00C07921"/>
    <w:pPr>
      <w:spacing w:after="0" w:line="240" w:lineRule="auto"/>
    </w:pPr>
    <w:rPr>
      <w:rFonts w:ascii="Calibri" w:eastAsia="Times New Roman" w:hAnsi="Calibri" w:cs="Times New Roman"/>
      <w:szCs w:val="20"/>
      <w:lang w:eastAsia="en-AU"/>
    </w:rPr>
  </w:style>
  <w:style w:type="table" w:styleId="PlainTable4">
    <w:name w:val="Plain Table 4"/>
    <w:basedOn w:val="TableNormal"/>
    <w:uiPriority w:val="44"/>
    <w:rsid w:val="00146A1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33CC6"/>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semiHidden/>
    <w:unhideWhenUsed/>
    <w:rsid w:val="00D14F42"/>
    <w:rPr>
      <w:color w:val="E61E26" w:themeColor="followedHyperlink"/>
      <w:u w:val="single"/>
    </w:rPr>
  </w:style>
  <w:style w:type="character" w:styleId="Strong">
    <w:name w:val="Strong"/>
    <w:basedOn w:val="DefaultParagraphFont"/>
    <w:uiPriority w:val="22"/>
    <w:qFormat/>
    <w:rsid w:val="007100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93127">
      <w:bodyDiv w:val="1"/>
      <w:marLeft w:val="0"/>
      <w:marRight w:val="0"/>
      <w:marTop w:val="0"/>
      <w:marBottom w:val="0"/>
      <w:divBdr>
        <w:top w:val="none" w:sz="0" w:space="0" w:color="auto"/>
        <w:left w:val="none" w:sz="0" w:space="0" w:color="auto"/>
        <w:bottom w:val="none" w:sz="0" w:space="0" w:color="auto"/>
        <w:right w:val="none" w:sz="0" w:space="0" w:color="auto"/>
      </w:divBdr>
    </w:div>
    <w:div w:id="382945850">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629944650">
      <w:bodyDiv w:val="1"/>
      <w:marLeft w:val="0"/>
      <w:marRight w:val="0"/>
      <w:marTop w:val="0"/>
      <w:marBottom w:val="0"/>
      <w:divBdr>
        <w:top w:val="none" w:sz="0" w:space="0" w:color="auto"/>
        <w:left w:val="none" w:sz="0" w:space="0" w:color="auto"/>
        <w:bottom w:val="none" w:sz="0" w:space="0" w:color="auto"/>
        <w:right w:val="none" w:sz="0" w:space="0" w:color="auto"/>
      </w:divBdr>
    </w:div>
    <w:div w:id="662464791">
      <w:bodyDiv w:val="1"/>
      <w:marLeft w:val="0"/>
      <w:marRight w:val="0"/>
      <w:marTop w:val="0"/>
      <w:marBottom w:val="0"/>
      <w:divBdr>
        <w:top w:val="none" w:sz="0" w:space="0" w:color="auto"/>
        <w:left w:val="none" w:sz="0" w:space="0" w:color="auto"/>
        <w:bottom w:val="none" w:sz="0" w:space="0" w:color="auto"/>
        <w:right w:val="none" w:sz="0" w:space="0" w:color="auto"/>
      </w:divBdr>
    </w:div>
    <w:div w:id="831412498">
      <w:bodyDiv w:val="1"/>
      <w:marLeft w:val="0"/>
      <w:marRight w:val="0"/>
      <w:marTop w:val="0"/>
      <w:marBottom w:val="0"/>
      <w:divBdr>
        <w:top w:val="none" w:sz="0" w:space="0" w:color="auto"/>
        <w:left w:val="none" w:sz="0" w:space="0" w:color="auto"/>
        <w:bottom w:val="none" w:sz="0" w:space="0" w:color="auto"/>
        <w:right w:val="none" w:sz="0" w:space="0" w:color="auto"/>
      </w:divBdr>
    </w:div>
    <w:div w:id="1121920677">
      <w:bodyDiv w:val="1"/>
      <w:marLeft w:val="0"/>
      <w:marRight w:val="0"/>
      <w:marTop w:val="0"/>
      <w:marBottom w:val="0"/>
      <w:divBdr>
        <w:top w:val="none" w:sz="0" w:space="0" w:color="auto"/>
        <w:left w:val="none" w:sz="0" w:space="0" w:color="auto"/>
        <w:bottom w:val="none" w:sz="0" w:space="0" w:color="auto"/>
        <w:right w:val="none" w:sz="0" w:space="0" w:color="auto"/>
      </w:divBdr>
    </w:div>
    <w:div w:id="1170213427">
      <w:bodyDiv w:val="1"/>
      <w:marLeft w:val="0"/>
      <w:marRight w:val="0"/>
      <w:marTop w:val="0"/>
      <w:marBottom w:val="0"/>
      <w:divBdr>
        <w:top w:val="none" w:sz="0" w:space="0" w:color="auto"/>
        <w:left w:val="none" w:sz="0" w:space="0" w:color="auto"/>
        <w:bottom w:val="none" w:sz="0" w:space="0" w:color="auto"/>
        <w:right w:val="none" w:sz="0" w:space="0" w:color="auto"/>
      </w:divBdr>
    </w:div>
    <w:div w:id="1290285122">
      <w:bodyDiv w:val="1"/>
      <w:marLeft w:val="0"/>
      <w:marRight w:val="0"/>
      <w:marTop w:val="0"/>
      <w:marBottom w:val="0"/>
      <w:divBdr>
        <w:top w:val="none" w:sz="0" w:space="0" w:color="auto"/>
        <w:left w:val="none" w:sz="0" w:space="0" w:color="auto"/>
        <w:bottom w:val="none" w:sz="0" w:space="0" w:color="auto"/>
        <w:right w:val="none" w:sz="0" w:space="0" w:color="auto"/>
      </w:divBdr>
    </w:div>
    <w:div w:id="1502812899">
      <w:bodyDiv w:val="1"/>
      <w:marLeft w:val="0"/>
      <w:marRight w:val="0"/>
      <w:marTop w:val="0"/>
      <w:marBottom w:val="0"/>
      <w:divBdr>
        <w:top w:val="none" w:sz="0" w:space="0" w:color="auto"/>
        <w:left w:val="none" w:sz="0" w:space="0" w:color="auto"/>
        <w:bottom w:val="none" w:sz="0" w:space="0" w:color="auto"/>
        <w:right w:val="none" w:sz="0" w:space="0" w:color="auto"/>
      </w:divBdr>
    </w:div>
    <w:div w:id="1574661108">
      <w:bodyDiv w:val="1"/>
      <w:marLeft w:val="0"/>
      <w:marRight w:val="0"/>
      <w:marTop w:val="0"/>
      <w:marBottom w:val="0"/>
      <w:divBdr>
        <w:top w:val="none" w:sz="0" w:space="0" w:color="auto"/>
        <w:left w:val="none" w:sz="0" w:space="0" w:color="auto"/>
        <w:bottom w:val="none" w:sz="0" w:space="0" w:color="auto"/>
        <w:right w:val="none" w:sz="0" w:space="0" w:color="auto"/>
      </w:divBdr>
    </w:div>
    <w:div w:id="1699551745">
      <w:bodyDiv w:val="1"/>
      <w:marLeft w:val="0"/>
      <w:marRight w:val="0"/>
      <w:marTop w:val="0"/>
      <w:marBottom w:val="0"/>
      <w:divBdr>
        <w:top w:val="none" w:sz="0" w:space="0" w:color="auto"/>
        <w:left w:val="none" w:sz="0" w:space="0" w:color="auto"/>
        <w:bottom w:val="none" w:sz="0" w:space="0" w:color="auto"/>
        <w:right w:val="none" w:sz="0" w:space="0" w:color="auto"/>
      </w:divBdr>
    </w:div>
    <w:div w:id="1869177183">
      <w:bodyDiv w:val="1"/>
      <w:marLeft w:val="0"/>
      <w:marRight w:val="0"/>
      <w:marTop w:val="0"/>
      <w:marBottom w:val="0"/>
      <w:divBdr>
        <w:top w:val="none" w:sz="0" w:space="0" w:color="auto"/>
        <w:left w:val="none" w:sz="0" w:space="0" w:color="auto"/>
        <w:bottom w:val="none" w:sz="0" w:space="0" w:color="auto"/>
        <w:right w:val="none" w:sz="0" w:space="0" w:color="auto"/>
      </w:divBdr>
    </w:div>
    <w:div w:id="214711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pmc.gov.au/government/commonwealth-coat-arm" TargetMode="External"/><Relationship Id="rId26" Type="http://schemas.openxmlformats.org/officeDocument/2006/relationships/image" Target="media/image5.jpeg"/><Relationship Id="rId21" Type="http://schemas.openxmlformats.org/officeDocument/2006/relationships/footer" Target="footer1.xml"/><Relationship Id="rId34" Type="http://schemas.openxmlformats.org/officeDocument/2006/relationships/chart" Target="charts/chart7.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hyperlink" Target="https://grocerycodereviewer.gov.au/about" TargetMode="External"/><Relationship Id="rId33" Type="http://schemas.openxmlformats.org/officeDocument/2006/relationships/chart" Target="charts/chart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header" Target="header1.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chart" Target="charts/chart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header" Target="header2.xml"/><Relationship Id="rId28" Type="http://schemas.openxmlformats.org/officeDocument/2006/relationships/hyperlink" Target="http://www.grocerycodereviewer.gov.au/resources" TargetMode="External"/><Relationship Id="rId36" Type="http://schemas.openxmlformats.org/officeDocument/2006/relationships/chart" Target="charts/chart9.xml"/><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footer" Target="footer2.xml"/><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chart" Target="charts/chart8.xml"/><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grocerycodereviewer.gov.au/code-arbiter/woolworths" TargetMode="External"/><Relationship Id="rId2" Type="http://schemas.openxmlformats.org/officeDocument/2006/relationships/hyperlink" Target="https://www.afgc.org.au/newsandmedia/2022/08/foodandgrocerymanufacturingholdsstrengthdespitepandemicstress" TargetMode="External"/><Relationship Id="rId1" Type="http://schemas.openxmlformats.org/officeDocument/2006/relationships/hyperlink" Target="https://treasury.gov.au/review/food-and-grocery-code-of-conduct-review-2022" TargetMode="External"/><Relationship Id="rId6" Type="http://schemas.openxmlformats.org/officeDocument/2006/relationships/hyperlink" Target="https://grocerycodereviewer.gov.au/code-arbiter/aldi" TargetMode="External"/><Relationship Id="rId5" Type="http://schemas.openxmlformats.org/officeDocument/2006/relationships/hyperlink" Target="https://grocerycodereviewer.gov.au/code-arbiter/metcash" TargetMode="External"/><Relationship Id="rId4" Type="http://schemas.openxmlformats.org/officeDocument/2006/relationships/hyperlink" Target="https://grocerycodereviewer.gov.au/code-arbiter/col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Basic%20A4%20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471018765826079"/>
          <c:y val="9.3890797798370104E-2"/>
          <c:w val="0.49444444444444446"/>
          <c:h val="0.82407407407407407"/>
        </c:manualLayout>
      </c:layout>
      <c:doughnutChart>
        <c:varyColors val="1"/>
        <c:ser>
          <c:idx val="0"/>
          <c:order val="0"/>
          <c:spPr>
            <a:ln w="9525"/>
          </c:spPr>
          <c:dPt>
            <c:idx val="0"/>
            <c:bubble3D val="0"/>
            <c:spPr>
              <a:solidFill>
                <a:srgbClr val="1C2632"/>
              </a:solidFill>
              <a:ln w="9525">
                <a:solidFill>
                  <a:schemeClr val="lt1"/>
                </a:solidFill>
              </a:ln>
              <a:effectLst/>
            </c:spPr>
            <c:extLst>
              <c:ext xmlns:c16="http://schemas.microsoft.com/office/drawing/2014/chart" uri="{C3380CC4-5D6E-409C-BE32-E72D297353CC}">
                <c16:uniqueId val="{00000001-F0D6-485B-A2F5-784F060FFA3E}"/>
              </c:ext>
            </c:extLst>
          </c:dPt>
          <c:dPt>
            <c:idx val="1"/>
            <c:bubble3D val="0"/>
            <c:spPr>
              <a:solidFill>
                <a:srgbClr val="185E7A"/>
              </a:solidFill>
              <a:ln w="9525">
                <a:solidFill>
                  <a:schemeClr val="lt1"/>
                </a:solidFill>
              </a:ln>
              <a:effectLst/>
            </c:spPr>
            <c:extLst>
              <c:ext xmlns:c16="http://schemas.microsoft.com/office/drawing/2014/chart" uri="{C3380CC4-5D6E-409C-BE32-E72D297353CC}">
                <c16:uniqueId val="{00000003-F0D6-485B-A2F5-784F060FFA3E}"/>
              </c:ext>
            </c:extLst>
          </c:dPt>
          <c:dPt>
            <c:idx val="2"/>
            <c:bubble3D val="0"/>
            <c:spPr>
              <a:solidFill>
                <a:srgbClr val="8FDF25"/>
              </a:solidFill>
              <a:ln w="9525">
                <a:solidFill>
                  <a:schemeClr val="lt1"/>
                </a:solidFill>
              </a:ln>
              <a:effectLst/>
            </c:spPr>
            <c:extLst>
              <c:ext xmlns:c16="http://schemas.microsoft.com/office/drawing/2014/chart" uri="{C3380CC4-5D6E-409C-BE32-E72D297353CC}">
                <c16:uniqueId val="{00000005-F0D6-485B-A2F5-784F060FFA3E}"/>
              </c:ext>
            </c:extLst>
          </c:dPt>
          <c:dPt>
            <c:idx val="3"/>
            <c:bubble3D val="0"/>
            <c:spPr>
              <a:solidFill>
                <a:srgbClr val="9EC7CF"/>
              </a:solidFill>
              <a:ln w="9525">
                <a:solidFill>
                  <a:schemeClr val="lt1"/>
                </a:solidFill>
              </a:ln>
              <a:effectLst/>
            </c:spPr>
            <c:extLst>
              <c:ext xmlns:c16="http://schemas.microsoft.com/office/drawing/2014/chart" uri="{C3380CC4-5D6E-409C-BE32-E72D297353CC}">
                <c16:uniqueId val="{00000007-F0D6-485B-A2F5-784F060FFA3E}"/>
              </c:ext>
            </c:extLst>
          </c:dPt>
          <c:dPt>
            <c:idx val="4"/>
            <c:bubble3D val="0"/>
            <c:spPr>
              <a:solidFill>
                <a:srgbClr val="00818F"/>
              </a:solidFill>
              <a:ln w="9525">
                <a:solidFill>
                  <a:schemeClr val="lt1"/>
                </a:solidFill>
              </a:ln>
              <a:effectLst/>
            </c:spPr>
            <c:extLst>
              <c:ext xmlns:c16="http://schemas.microsoft.com/office/drawing/2014/chart" uri="{C3380CC4-5D6E-409C-BE32-E72D297353CC}">
                <c16:uniqueId val="{00000009-F0D6-485B-A2F5-784F060FFA3E}"/>
              </c:ext>
            </c:extLst>
          </c:dPt>
          <c:dLbls>
            <c:dLbl>
              <c:idx val="0"/>
              <c:layout>
                <c:manualLayout>
                  <c:x val="0.16388888888888889"/>
                  <c:y val="-5.6768938365462936E-2"/>
                </c:manualLayout>
              </c:layout>
              <c:tx>
                <c:rich>
                  <a:bodyPr/>
                  <a:lstStyle/>
                  <a:p>
                    <a:fld id="{B216C878-1E45-4A2D-88E2-03B4F290B9F8}" type="CATEGORYNAME">
                      <a:rPr lang="en-US" b="0"/>
                      <a:pPr/>
                      <a:t>[CATEGORY NAME]</a:t>
                    </a:fld>
                    <a:r>
                      <a:rPr lang="en-US" baseline="0"/>
                      <a:t>
37.1%</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0D6-485B-A2F5-784F060FFA3E}"/>
                </c:ext>
              </c:extLst>
            </c:dLbl>
            <c:dLbl>
              <c:idx val="1"/>
              <c:layout>
                <c:manualLayout>
                  <c:x val="0.21666666666666656"/>
                  <c:y val="1.9923371647509579E-2"/>
                </c:manualLayout>
              </c:layout>
              <c:tx>
                <c:rich>
                  <a:bodyPr/>
                  <a:lstStyle/>
                  <a:p>
                    <a:fld id="{85912325-8598-4A8B-BA25-C8B560FF60ED}" type="CATEGORYNAME">
                      <a:rPr lang="en-US" b="0"/>
                      <a:pPr/>
                      <a:t>[CATEGORY NAME]</a:t>
                    </a:fld>
                    <a:r>
                      <a:rPr lang="en-US" baseline="0"/>
                      <a:t>
27.9%</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0D6-485B-A2F5-784F060FFA3E}"/>
                </c:ext>
              </c:extLst>
            </c:dLbl>
            <c:dLbl>
              <c:idx val="2"/>
              <c:layout>
                <c:manualLayout>
                  <c:x val="-0.12777777777777777"/>
                  <c:y val="9.731812833740601E-2"/>
                </c:manualLayout>
              </c:layout>
              <c:tx>
                <c:rich>
                  <a:bodyPr/>
                  <a:lstStyle/>
                  <a:p>
                    <a:fld id="{03CB706E-587B-4563-B7DC-EC028E80D05A}" type="CATEGORYNAME">
                      <a:rPr lang="en-US" b="0"/>
                      <a:pPr/>
                      <a:t>[CATEGORY NAME]</a:t>
                    </a:fld>
                    <a:r>
                      <a:rPr lang="en-US" baseline="0"/>
                      <a:t>
9.5%</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0D6-485B-A2F5-784F060FFA3E}"/>
                </c:ext>
              </c:extLst>
            </c:dLbl>
            <c:dLbl>
              <c:idx val="3"/>
              <c:layout>
                <c:manualLayout>
                  <c:x val="-0.13055555555555556"/>
                  <c:y val="-5.0894017558150061E-2"/>
                </c:manualLayout>
              </c:layout>
              <c:tx>
                <c:rich>
                  <a:bodyPr/>
                  <a:lstStyle/>
                  <a:p>
                    <a:fld id="{534F5EC8-C185-4500-8DCA-8C729D16A464}" type="CATEGORYNAME">
                      <a:rPr lang="en-US" b="0"/>
                      <a:pPr/>
                      <a:t>[CATEGORY NAME]</a:t>
                    </a:fld>
                    <a:r>
                      <a:rPr lang="en-US" baseline="0"/>
                      <a:t>
6.9%</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0D6-485B-A2F5-784F060FFA3E}"/>
                </c:ext>
              </c:extLst>
            </c:dLbl>
            <c:dLbl>
              <c:idx val="4"/>
              <c:layout>
                <c:manualLayout>
                  <c:x val="-0.14166666666666666"/>
                  <c:y val="-8.3333152321477061E-2"/>
                </c:manualLayout>
              </c:layout>
              <c:tx>
                <c:rich>
                  <a:bodyPr/>
                  <a:lstStyle/>
                  <a:p>
                    <a:fld id="{F65FA8E5-9269-4605-9458-87F682E8F824}" type="CATEGORYNAME">
                      <a:rPr lang="en-US" b="0"/>
                      <a:pPr/>
                      <a:t>[CATEGORY NAME]</a:t>
                    </a:fld>
                    <a:r>
                      <a:rPr lang="en-US" baseline="0"/>
                      <a:t>
18.6%</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0D6-485B-A2F5-784F060FFA3E}"/>
                </c:ext>
              </c:extLst>
            </c:dLbl>
            <c:spPr>
              <a:noFill/>
              <a:ln>
                <a:noFill/>
              </a:ln>
              <a:effectLst/>
            </c:spPr>
            <c:txPr>
              <a:bodyPr rot="0" spcFirstLastPara="1" vertOverflow="ellipsis" vert="horz" wrap="square" lIns="38100" tIns="19050" rIns="38100" bIns="19050" anchor="ctr" anchorCtr="0">
                <a:spAutoFit/>
              </a:bodyPr>
              <a:lstStyle/>
              <a:p>
                <a:pPr algn="l">
                  <a:defRPr sz="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'[Chart in Microsoft Word]Sheet1'!$A$2:$A$6</c:f>
              <c:strCache>
                <c:ptCount val="5"/>
                <c:pt idx="0">
                  <c:v>Woolworths</c:v>
                </c:pt>
                <c:pt idx="1">
                  <c:v>Coles</c:v>
                </c:pt>
                <c:pt idx="2">
                  <c:v>Aldi</c:v>
                </c:pt>
                <c:pt idx="3">
                  <c:v>Metcash</c:v>
                </c:pt>
                <c:pt idx="4">
                  <c:v>Other</c:v>
                </c:pt>
              </c:strCache>
            </c:strRef>
          </c:cat>
          <c:val>
            <c:numRef>
              <c:f>'[Chart in Microsoft Word]Sheet1'!$B$2:$B$6</c:f>
              <c:numCache>
                <c:formatCode>General</c:formatCode>
                <c:ptCount val="5"/>
                <c:pt idx="0">
                  <c:v>37.1</c:v>
                </c:pt>
                <c:pt idx="1">
                  <c:v>27.9</c:v>
                </c:pt>
                <c:pt idx="2">
                  <c:v>9.5</c:v>
                </c:pt>
                <c:pt idx="3">
                  <c:v>6.9</c:v>
                </c:pt>
                <c:pt idx="4">
                  <c:v>18.600000000000001</c:v>
                </c:pt>
              </c:numCache>
            </c:numRef>
          </c:val>
          <c:extLst>
            <c:ext xmlns:c16="http://schemas.microsoft.com/office/drawing/2014/chart" uri="{C3380CC4-5D6E-409C-BE32-E72D297353CC}">
              <c16:uniqueId val="{0000000A-F0D6-485B-A2F5-784F060FFA3E}"/>
            </c:ext>
          </c:extLst>
        </c:ser>
        <c:dLbls>
          <c:showLegendKey val="0"/>
          <c:showVal val="0"/>
          <c:showCatName val="0"/>
          <c:showSerName val="0"/>
          <c:showPercent val="1"/>
          <c:showBubbleSize val="0"/>
          <c:showLeaderLines val="1"/>
        </c:dLbls>
        <c:firstSliceAng val="0"/>
        <c:holeSize val="65"/>
      </c:doughnutChart>
      <c:spPr>
        <a:noFill/>
        <a:ln w="9525">
          <a:solidFill>
            <a:schemeClr val="lt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spPr>
            <a:solidFill>
              <a:schemeClr val="accent2"/>
            </a:solidFill>
            <a:ln>
              <a:noFill/>
            </a:ln>
            <a:effectLst/>
          </c:spPr>
          <c:invertIfNegative val="0"/>
          <c:cat>
            <c:strRef>
              <c:f>'Q3 products'!$A$9:$A$19</c:f>
              <c:strCache>
                <c:ptCount val="11"/>
                <c:pt idx="0">
                  <c:v>Drinks</c:v>
                </c:pt>
                <c:pt idx="1">
                  <c:v>Pet food</c:v>
                </c:pt>
                <c:pt idx="2">
                  <c:v>Pharmaceuticals</c:v>
                </c:pt>
                <c:pt idx="3">
                  <c:v>Household and cleaning </c:v>
                </c:pt>
                <c:pt idx="4">
                  <c:v>Health and beauty</c:v>
                </c:pt>
                <c:pt idx="5">
                  <c:v>Ambient (eg. shelf-stable food)</c:v>
                </c:pt>
                <c:pt idx="6">
                  <c:v>Frozen</c:v>
                </c:pt>
                <c:pt idx="7">
                  <c:v>Chilled</c:v>
                </c:pt>
                <c:pt idx="8">
                  <c:v>Meat and meat products</c:v>
                </c:pt>
                <c:pt idx="9">
                  <c:v>Fruit/vegetable</c:v>
                </c:pt>
                <c:pt idx="10">
                  <c:v>Other</c:v>
                </c:pt>
              </c:strCache>
            </c:strRef>
          </c:cat>
          <c:val>
            <c:numRef>
              <c:f>'Q3 products'!$C$9:$C$19</c:f>
              <c:numCache>
                <c:formatCode>0%</c:formatCode>
                <c:ptCount val="11"/>
                <c:pt idx="0">
                  <c:v>6.1576354679802957E-2</c:v>
                </c:pt>
                <c:pt idx="1">
                  <c:v>2.9556650246305417E-2</c:v>
                </c:pt>
                <c:pt idx="2">
                  <c:v>1.7241379310344827E-2</c:v>
                </c:pt>
                <c:pt idx="3">
                  <c:v>0.11822660098522167</c:v>
                </c:pt>
                <c:pt idx="4">
                  <c:v>0.11330049261083744</c:v>
                </c:pt>
                <c:pt idx="5">
                  <c:v>0.2857142857142857</c:v>
                </c:pt>
                <c:pt idx="6">
                  <c:v>0.1625615763546798</c:v>
                </c:pt>
                <c:pt idx="7">
                  <c:v>0.20935960591133004</c:v>
                </c:pt>
                <c:pt idx="8">
                  <c:v>7.3891625615763554E-2</c:v>
                </c:pt>
                <c:pt idx="9">
                  <c:v>0.16009852216748768</c:v>
                </c:pt>
                <c:pt idx="10">
                  <c:v>0.11083743842364532</c:v>
                </c:pt>
              </c:numCache>
            </c:numRef>
          </c:val>
          <c:extLst>
            <c:ext xmlns:c16="http://schemas.microsoft.com/office/drawing/2014/chart" uri="{C3380CC4-5D6E-409C-BE32-E72D297353CC}">
              <c16:uniqueId val="{00000000-5B41-444A-B9D2-89AB9317CF29}"/>
            </c:ext>
          </c:extLst>
        </c:ser>
        <c:dLbls>
          <c:showLegendKey val="0"/>
          <c:showVal val="0"/>
          <c:showCatName val="0"/>
          <c:showSerName val="0"/>
          <c:showPercent val="0"/>
          <c:showBubbleSize val="0"/>
        </c:dLbls>
        <c:gapWidth val="182"/>
        <c:axId val="435836879"/>
        <c:axId val="435837295"/>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'Q3 products'!$A$9:$A$19</c15:sqref>
                        </c15:formulaRef>
                      </c:ext>
                    </c:extLst>
                    <c:strCache>
                      <c:ptCount val="11"/>
                      <c:pt idx="0">
                        <c:v>Drinks</c:v>
                      </c:pt>
                      <c:pt idx="1">
                        <c:v>Pet food</c:v>
                      </c:pt>
                      <c:pt idx="2">
                        <c:v>Pharmaceuticals</c:v>
                      </c:pt>
                      <c:pt idx="3">
                        <c:v>Household and cleaning </c:v>
                      </c:pt>
                      <c:pt idx="4">
                        <c:v>Health and beauty</c:v>
                      </c:pt>
                      <c:pt idx="5">
                        <c:v>Ambient (eg. shelf-stable food)</c:v>
                      </c:pt>
                      <c:pt idx="6">
                        <c:v>Frozen</c:v>
                      </c:pt>
                      <c:pt idx="7">
                        <c:v>Chilled</c:v>
                      </c:pt>
                      <c:pt idx="8">
                        <c:v>Meat and meat products</c:v>
                      </c:pt>
                      <c:pt idx="9">
                        <c:v>Fruit/vegetable</c:v>
                      </c:pt>
                      <c:pt idx="10">
                        <c:v>Other</c:v>
                      </c:pt>
                    </c:strCache>
                  </c:strRef>
                </c:cat>
                <c:val>
                  <c:numRef>
                    <c:extLst>
                      <c:ext uri="{02D57815-91ED-43cb-92C2-25804820EDAC}">
                        <c15:formulaRef>
                          <c15:sqref>'Q3 products'!$B$9:$B$19</c15:sqref>
                        </c15:formulaRef>
                      </c:ext>
                    </c:extLst>
                    <c:numCache>
                      <c:formatCode>General</c:formatCode>
                      <c:ptCount val="11"/>
                      <c:pt idx="0">
                        <c:v>25</c:v>
                      </c:pt>
                      <c:pt idx="1">
                        <c:v>12</c:v>
                      </c:pt>
                      <c:pt idx="2">
                        <c:v>7</c:v>
                      </c:pt>
                      <c:pt idx="3">
                        <c:v>48</c:v>
                      </c:pt>
                      <c:pt idx="4">
                        <c:v>46</c:v>
                      </c:pt>
                      <c:pt idx="5">
                        <c:v>116</c:v>
                      </c:pt>
                      <c:pt idx="6">
                        <c:v>66</c:v>
                      </c:pt>
                      <c:pt idx="7">
                        <c:v>85</c:v>
                      </c:pt>
                      <c:pt idx="8">
                        <c:v>30</c:v>
                      </c:pt>
                      <c:pt idx="9">
                        <c:v>65</c:v>
                      </c:pt>
                      <c:pt idx="10">
                        <c:v>45</c:v>
                      </c:pt>
                    </c:numCache>
                  </c:numRef>
                </c:val>
                <c:extLst>
                  <c:ext xmlns:c16="http://schemas.microsoft.com/office/drawing/2014/chart" uri="{C3380CC4-5D6E-409C-BE32-E72D297353CC}">
                    <c16:uniqueId val="{00000001-5B41-444A-B9D2-89AB9317CF29}"/>
                  </c:ext>
                </c:extLst>
              </c15:ser>
            </c15:filteredBarSeries>
          </c:ext>
        </c:extLst>
      </c:barChart>
      <c:catAx>
        <c:axId val="4358368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837295"/>
        <c:crosses val="autoZero"/>
        <c:auto val="1"/>
        <c:lblAlgn val="ctr"/>
        <c:lblOffset val="100"/>
        <c:noMultiLvlLbl val="0"/>
      </c:catAx>
      <c:valAx>
        <c:axId val="43583729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836879"/>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'Q4 dealings'!$A$2</c:f>
              <c:strCache>
                <c:ptCount val="1"/>
                <c:pt idx="0">
                  <c:v>Always treats me fairly and respectfully</c:v>
                </c:pt>
              </c:strCache>
            </c:strRef>
          </c:tx>
          <c:spPr>
            <a:solidFill>
              <a:schemeClr val="accent1"/>
            </a:solidFill>
            <a:ln>
              <a:noFill/>
            </a:ln>
            <a:effectLst/>
          </c:spPr>
          <c:invertIfNegative val="0"/>
          <c:cat>
            <c:strRef>
              <c:f>'Q4 dealings'!$B$1:$E$1</c:f>
              <c:strCache>
                <c:ptCount val="4"/>
                <c:pt idx="0">
                  <c:v>Woolworths</c:v>
                </c:pt>
                <c:pt idx="1">
                  <c:v>Coles</c:v>
                </c:pt>
                <c:pt idx="2">
                  <c:v>Metcash</c:v>
                </c:pt>
                <c:pt idx="3">
                  <c:v>Aldi</c:v>
                </c:pt>
              </c:strCache>
            </c:strRef>
          </c:cat>
          <c:val>
            <c:numRef>
              <c:f>'Q4 dealings'!$B$2:$E$2</c:f>
              <c:numCache>
                <c:formatCode>General</c:formatCode>
                <c:ptCount val="4"/>
                <c:pt idx="0">
                  <c:v>110</c:v>
                </c:pt>
                <c:pt idx="1">
                  <c:v>125</c:v>
                </c:pt>
                <c:pt idx="2">
                  <c:v>111</c:v>
                </c:pt>
                <c:pt idx="3">
                  <c:v>145</c:v>
                </c:pt>
              </c:numCache>
            </c:numRef>
          </c:val>
          <c:extLst>
            <c:ext xmlns:c16="http://schemas.microsoft.com/office/drawing/2014/chart" uri="{C3380CC4-5D6E-409C-BE32-E72D297353CC}">
              <c16:uniqueId val="{00000000-FFFC-4FB5-ABD9-34E8F5EAE15C}"/>
            </c:ext>
          </c:extLst>
        </c:ser>
        <c:ser>
          <c:idx val="1"/>
          <c:order val="1"/>
          <c:tx>
            <c:strRef>
              <c:f>'Q4 dealings'!$A$3</c:f>
              <c:strCache>
                <c:ptCount val="1"/>
                <c:pt idx="0">
                  <c:v>Mostly treats me fairly and respectfully</c:v>
                </c:pt>
              </c:strCache>
            </c:strRef>
          </c:tx>
          <c:spPr>
            <a:solidFill>
              <a:schemeClr val="accent2"/>
            </a:solidFill>
            <a:ln>
              <a:noFill/>
            </a:ln>
            <a:effectLst/>
          </c:spPr>
          <c:invertIfNegative val="0"/>
          <c:cat>
            <c:strRef>
              <c:f>'Q4 dealings'!$B$1:$E$1</c:f>
              <c:strCache>
                <c:ptCount val="4"/>
                <c:pt idx="0">
                  <c:v>Woolworths</c:v>
                </c:pt>
                <c:pt idx="1">
                  <c:v>Coles</c:v>
                </c:pt>
                <c:pt idx="2">
                  <c:v>Metcash</c:v>
                </c:pt>
                <c:pt idx="3">
                  <c:v>Aldi</c:v>
                </c:pt>
              </c:strCache>
            </c:strRef>
          </c:cat>
          <c:val>
            <c:numRef>
              <c:f>'Q4 dealings'!$B$3:$E$3</c:f>
              <c:numCache>
                <c:formatCode>General</c:formatCode>
                <c:ptCount val="4"/>
                <c:pt idx="0">
                  <c:v>111</c:v>
                </c:pt>
                <c:pt idx="1">
                  <c:v>104</c:v>
                </c:pt>
                <c:pt idx="2">
                  <c:v>103</c:v>
                </c:pt>
                <c:pt idx="3">
                  <c:v>56</c:v>
                </c:pt>
              </c:numCache>
            </c:numRef>
          </c:val>
          <c:extLst>
            <c:ext xmlns:c16="http://schemas.microsoft.com/office/drawing/2014/chart" uri="{C3380CC4-5D6E-409C-BE32-E72D297353CC}">
              <c16:uniqueId val="{00000001-FFFC-4FB5-ABD9-34E8F5EAE15C}"/>
            </c:ext>
          </c:extLst>
        </c:ser>
        <c:ser>
          <c:idx val="2"/>
          <c:order val="2"/>
          <c:tx>
            <c:strRef>
              <c:f>'Q4 dealings'!$A$4</c:f>
              <c:strCache>
                <c:ptCount val="1"/>
                <c:pt idx="0">
                  <c:v>Acts unreasonably at times</c:v>
                </c:pt>
              </c:strCache>
            </c:strRef>
          </c:tx>
          <c:spPr>
            <a:solidFill>
              <a:schemeClr val="accent3"/>
            </a:solidFill>
            <a:ln>
              <a:noFill/>
            </a:ln>
            <a:effectLst/>
          </c:spPr>
          <c:invertIfNegative val="0"/>
          <c:cat>
            <c:strRef>
              <c:f>'Q4 dealings'!$B$1:$E$1</c:f>
              <c:strCache>
                <c:ptCount val="4"/>
                <c:pt idx="0">
                  <c:v>Woolworths</c:v>
                </c:pt>
                <c:pt idx="1">
                  <c:v>Coles</c:v>
                </c:pt>
                <c:pt idx="2">
                  <c:v>Metcash</c:v>
                </c:pt>
                <c:pt idx="3">
                  <c:v>Aldi</c:v>
                </c:pt>
              </c:strCache>
            </c:strRef>
          </c:cat>
          <c:val>
            <c:numRef>
              <c:f>'Q4 dealings'!$B$4:$E$4</c:f>
              <c:numCache>
                <c:formatCode>General</c:formatCode>
                <c:ptCount val="4"/>
                <c:pt idx="0">
                  <c:v>34</c:v>
                </c:pt>
                <c:pt idx="1">
                  <c:v>30</c:v>
                </c:pt>
                <c:pt idx="2">
                  <c:v>19</c:v>
                </c:pt>
                <c:pt idx="3">
                  <c:v>8</c:v>
                </c:pt>
              </c:numCache>
            </c:numRef>
          </c:val>
          <c:extLst>
            <c:ext xmlns:c16="http://schemas.microsoft.com/office/drawing/2014/chart" uri="{C3380CC4-5D6E-409C-BE32-E72D297353CC}">
              <c16:uniqueId val="{00000002-FFFC-4FB5-ABD9-34E8F5EAE15C}"/>
            </c:ext>
          </c:extLst>
        </c:ser>
        <c:ser>
          <c:idx val="3"/>
          <c:order val="3"/>
          <c:tx>
            <c:strRef>
              <c:f>'Q4 dealings'!$A$5</c:f>
              <c:strCache>
                <c:ptCount val="1"/>
                <c:pt idx="0">
                  <c:v>Frequently acts unreasonably or with duress</c:v>
                </c:pt>
              </c:strCache>
            </c:strRef>
          </c:tx>
          <c:spPr>
            <a:solidFill>
              <a:schemeClr val="accent4"/>
            </a:solidFill>
            <a:ln>
              <a:noFill/>
            </a:ln>
            <a:effectLst/>
          </c:spPr>
          <c:invertIfNegative val="0"/>
          <c:cat>
            <c:strRef>
              <c:f>'Q4 dealings'!$B$1:$E$1</c:f>
              <c:strCache>
                <c:ptCount val="4"/>
                <c:pt idx="0">
                  <c:v>Woolworths</c:v>
                </c:pt>
                <c:pt idx="1">
                  <c:v>Coles</c:v>
                </c:pt>
                <c:pt idx="2">
                  <c:v>Metcash</c:v>
                </c:pt>
                <c:pt idx="3">
                  <c:v>Aldi</c:v>
                </c:pt>
              </c:strCache>
            </c:strRef>
          </c:cat>
          <c:val>
            <c:numRef>
              <c:f>'Q4 dealings'!$B$5:$E$5</c:f>
              <c:numCache>
                <c:formatCode>General</c:formatCode>
                <c:ptCount val="4"/>
                <c:pt idx="0">
                  <c:v>8</c:v>
                </c:pt>
                <c:pt idx="1">
                  <c:v>6</c:v>
                </c:pt>
                <c:pt idx="2">
                  <c:v>3</c:v>
                </c:pt>
                <c:pt idx="3">
                  <c:v>2</c:v>
                </c:pt>
              </c:numCache>
            </c:numRef>
          </c:val>
          <c:extLst>
            <c:ext xmlns:c16="http://schemas.microsoft.com/office/drawing/2014/chart" uri="{C3380CC4-5D6E-409C-BE32-E72D297353CC}">
              <c16:uniqueId val="{00000003-FFFC-4FB5-ABD9-34E8F5EAE15C}"/>
            </c:ext>
          </c:extLst>
        </c:ser>
        <c:dLbls>
          <c:showLegendKey val="0"/>
          <c:showVal val="0"/>
          <c:showCatName val="0"/>
          <c:showSerName val="0"/>
          <c:showPercent val="0"/>
          <c:showBubbleSize val="0"/>
        </c:dLbls>
        <c:gapWidth val="150"/>
        <c:overlap val="100"/>
        <c:axId val="445302399"/>
        <c:axId val="445304063"/>
      </c:barChart>
      <c:catAx>
        <c:axId val="4453023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304063"/>
        <c:crosses val="autoZero"/>
        <c:auto val="1"/>
        <c:lblAlgn val="ctr"/>
        <c:lblOffset val="100"/>
        <c:noMultiLvlLbl val="0"/>
      </c:catAx>
      <c:valAx>
        <c:axId val="4453040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302399"/>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'Q4 compared to 2021'!$A$18</c:f>
              <c:strCache>
                <c:ptCount val="1"/>
                <c:pt idx="0">
                  <c:v>Always treats me fairly and respectfully</c:v>
                </c:pt>
              </c:strCache>
            </c:strRef>
          </c:tx>
          <c:spPr>
            <a:ln w="28575" cap="rnd">
              <a:solidFill>
                <a:schemeClr val="accent1"/>
              </a:solidFill>
              <a:round/>
            </a:ln>
            <a:effectLst/>
          </c:spPr>
          <c:marker>
            <c:symbol val="none"/>
          </c:marker>
          <c:cat>
            <c:numRef>
              <c:f>'Q4 compared to 2021'!$B$17:$C$17</c:f>
              <c:numCache>
                <c:formatCode>General</c:formatCode>
                <c:ptCount val="2"/>
                <c:pt idx="0" formatCode="0">
                  <c:v>2021</c:v>
                </c:pt>
                <c:pt idx="1">
                  <c:v>2022</c:v>
                </c:pt>
              </c:numCache>
            </c:numRef>
          </c:cat>
          <c:val>
            <c:numRef>
              <c:f>'Q4 compared to 2021'!$B$18:$C$18</c:f>
              <c:numCache>
                <c:formatCode>0%</c:formatCode>
                <c:ptCount val="2"/>
                <c:pt idx="0">
                  <c:v>0.38352272727272729</c:v>
                </c:pt>
                <c:pt idx="1">
                  <c:v>0.50204081632653064</c:v>
                </c:pt>
              </c:numCache>
            </c:numRef>
          </c:val>
          <c:smooth val="0"/>
          <c:extLst>
            <c:ext xmlns:c16="http://schemas.microsoft.com/office/drawing/2014/chart" uri="{C3380CC4-5D6E-409C-BE32-E72D297353CC}">
              <c16:uniqueId val="{00000000-4DCF-4143-9C21-274FB4C71D5B}"/>
            </c:ext>
          </c:extLst>
        </c:ser>
        <c:ser>
          <c:idx val="1"/>
          <c:order val="1"/>
          <c:tx>
            <c:strRef>
              <c:f>'Q4 compared to 2021'!$A$19</c:f>
              <c:strCache>
                <c:ptCount val="1"/>
                <c:pt idx="0">
                  <c:v>Mostly treats me fairly and respectfully</c:v>
                </c:pt>
              </c:strCache>
            </c:strRef>
          </c:tx>
          <c:spPr>
            <a:ln w="28575" cap="rnd">
              <a:solidFill>
                <a:schemeClr val="accent2"/>
              </a:solidFill>
              <a:round/>
            </a:ln>
            <a:effectLst/>
          </c:spPr>
          <c:marker>
            <c:symbol val="none"/>
          </c:marker>
          <c:cat>
            <c:numRef>
              <c:f>'Q4 compared to 2021'!$B$17:$C$17</c:f>
              <c:numCache>
                <c:formatCode>General</c:formatCode>
                <c:ptCount val="2"/>
                <c:pt idx="0" formatCode="0">
                  <c:v>2021</c:v>
                </c:pt>
                <c:pt idx="1">
                  <c:v>2022</c:v>
                </c:pt>
              </c:numCache>
            </c:numRef>
          </c:cat>
          <c:val>
            <c:numRef>
              <c:f>'Q4 compared to 2021'!$B$19:$C$19</c:f>
              <c:numCache>
                <c:formatCode>0%</c:formatCode>
                <c:ptCount val="2"/>
                <c:pt idx="0">
                  <c:v>0.42992424242424243</c:v>
                </c:pt>
                <c:pt idx="1">
                  <c:v>0.38571428571428573</c:v>
                </c:pt>
              </c:numCache>
            </c:numRef>
          </c:val>
          <c:smooth val="0"/>
          <c:extLst>
            <c:ext xmlns:c16="http://schemas.microsoft.com/office/drawing/2014/chart" uri="{C3380CC4-5D6E-409C-BE32-E72D297353CC}">
              <c16:uniqueId val="{00000001-4DCF-4143-9C21-274FB4C71D5B}"/>
            </c:ext>
          </c:extLst>
        </c:ser>
        <c:ser>
          <c:idx val="2"/>
          <c:order val="2"/>
          <c:tx>
            <c:strRef>
              <c:f>'Q4 compared to 2021'!$A$20</c:f>
              <c:strCache>
                <c:ptCount val="1"/>
                <c:pt idx="0">
                  <c:v>Acts unreasonably at times</c:v>
                </c:pt>
              </c:strCache>
            </c:strRef>
          </c:tx>
          <c:spPr>
            <a:ln w="28575" cap="rnd">
              <a:solidFill>
                <a:schemeClr val="accent3"/>
              </a:solidFill>
              <a:round/>
            </a:ln>
            <a:effectLst/>
          </c:spPr>
          <c:marker>
            <c:symbol val="none"/>
          </c:marker>
          <c:cat>
            <c:numRef>
              <c:f>'Q4 compared to 2021'!$B$17:$C$17</c:f>
              <c:numCache>
                <c:formatCode>General</c:formatCode>
                <c:ptCount val="2"/>
                <c:pt idx="0" formatCode="0">
                  <c:v>2021</c:v>
                </c:pt>
                <c:pt idx="1">
                  <c:v>2022</c:v>
                </c:pt>
              </c:numCache>
            </c:numRef>
          </c:cat>
          <c:val>
            <c:numRef>
              <c:f>'Q4 compared to 2021'!$B$20:$C$20</c:f>
              <c:numCache>
                <c:formatCode>0%</c:formatCode>
                <c:ptCount val="2"/>
                <c:pt idx="0">
                  <c:v>0.16193181818181818</c:v>
                </c:pt>
                <c:pt idx="1">
                  <c:v>9.285714285714286E-2</c:v>
                </c:pt>
              </c:numCache>
            </c:numRef>
          </c:val>
          <c:smooth val="0"/>
          <c:extLst>
            <c:ext xmlns:c16="http://schemas.microsoft.com/office/drawing/2014/chart" uri="{C3380CC4-5D6E-409C-BE32-E72D297353CC}">
              <c16:uniqueId val="{00000002-4DCF-4143-9C21-274FB4C71D5B}"/>
            </c:ext>
          </c:extLst>
        </c:ser>
        <c:ser>
          <c:idx val="3"/>
          <c:order val="3"/>
          <c:tx>
            <c:strRef>
              <c:f>'Q4 compared to 2021'!$A$21</c:f>
              <c:strCache>
                <c:ptCount val="1"/>
                <c:pt idx="0">
                  <c:v>Frequently acts unreasonably or with duress</c:v>
                </c:pt>
              </c:strCache>
            </c:strRef>
          </c:tx>
          <c:spPr>
            <a:ln w="28575" cap="rnd">
              <a:solidFill>
                <a:schemeClr val="accent4"/>
              </a:solidFill>
              <a:round/>
            </a:ln>
            <a:effectLst/>
          </c:spPr>
          <c:marker>
            <c:symbol val="none"/>
          </c:marker>
          <c:cat>
            <c:numRef>
              <c:f>'Q4 compared to 2021'!$B$17:$C$17</c:f>
              <c:numCache>
                <c:formatCode>General</c:formatCode>
                <c:ptCount val="2"/>
                <c:pt idx="0" formatCode="0">
                  <c:v>2021</c:v>
                </c:pt>
                <c:pt idx="1">
                  <c:v>2022</c:v>
                </c:pt>
              </c:numCache>
            </c:numRef>
          </c:cat>
          <c:val>
            <c:numRef>
              <c:f>'Q4 compared to 2021'!$B$21:$C$21</c:f>
              <c:numCache>
                <c:formatCode>0%</c:formatCode>
                <c:ptCount val="2"/>
                <c:pt idx="0">
                  <c:v>2.462121212121212E-2</c:v>
                </c:pt>
                <c:pt idx="1">
                  <c:v>1.9387755102040816E-2</c:v>
                </c:pt>
              </c:numCache>
            </c:numRef>
          </c:val>
          <c:smooth val="0"/>
          <c:extLst>
            <c:ext xmlns:c16="http://schemas.microsoft.com/office/drawing/2014/chart" uri="{C3380CC4-5D6E-409C-BE32-E72D297353CC}">
              <c16:uniqueId val="{00000003-4DCF-4143-9C21-274FB4C71D5B}"/>
            </c:ext>
          </c:extLst>
        </c:ser>
        <c:dLbls>
          <c:showLegendKey val="0"/>
          <c:showVal val="0"/>
          <c:showCatName val="0"/>
          <c:showSerName val="0"/>
          <c:showPercent val="0"/>
          <c:showBubbleSize val="0"/>
        </c:dLbls>
        <c:smooth val="0"/>
        <c:axId val="964454560"/>
        <c:axId val="964457472"/>
      </c:lineChart>
      <c:catAx>
        <c:axId val="96445456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457472"/>
        <c:crosses val="autoZero"/>
        <c:auto val="1"/>
        <c:lblAlgn val="ctr"/>
        <c:lblOffset val="100"/>
        <c:noMultiLvlLbl val="0"/>
      </c:catAx>
      <c:valAx>
        <c:axId val="964457472"/>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45456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'Q9 action'!$A$2</c:f>
              <c:strCache>
                <c:ptCount val="1"/>
                <c:pt idx="0">
                  <c:v>Always</c:v>
                </c:pt>
              </c:strCache>
            </c:strRef>
          </c:tx>
          <c:spPr>
            <a:solidFill>
              <a:schemeClr val="accent1"/>
            </a:solidFill>
            <a:ln>
              <a:noFill/>
            </a:ln>
            <a:effectLst/>
          </c:spPr>
          <c:invertIfNegative val="0"/>
          <c:cat>
            <c:strRef>
              <c:f>'Q9 action'!$B$1:$E$1</c:f>
              <c:strCache>
                <c:ptCount val="4"/>
                <c:pt idx="0">
                  <c:v>Woolworths</c:v>
                </c:pt>
                <c:pt idx="1">
                  <c:v>Coles</c:v>
                </c:pt>
                <c:pt idx="2">
                  <c:v>Metcash</c:v>
                </c:pt>
                <c:pt idx="3">
                  <c:v>Aldi</c:v>
                </c:pt>
              </c:strCache>
            </c:strRef>
          </c:cat>
          <c:val>
            <c:numRef>
              <c:f>'Q9 action'!$B$2:$E$2</c:f>
              <c:numCache>
                <c:formatCode>General</c:formatCode>
                <c:ptCount val="4"/>
                <c:pt idx="0">
                  <c:v>91</c:v>
                </c:pt>
                <c:pt idx="1">
                  <c:v>103</c:v>
                </c:pt>
                <c:pt idx="2">
                  <c:v>96</c:v>
                </c:pt>
                <c:pt idx="3">
                  <c:v>123</c:v>
                </c:pt>
              </c:numCache>
            </c:numRef>
          </c:val>
          <c:extLst>
            <c:ext xmlns:c16="http://schemas.microsoft.com/office/drawing/2014/chart" uri="{C3380CC4-5D6E-409C-BE32-E72D297353CC}">
              <c16:uniqueId val="{00000000-1295-46C9-A10E-95BA3D6644A7}"/>
            </c:ext>
          </c:extLst>
        </c:ser>
        <c:ser>
          <c:idx val="1"/>
          <c:order val="1"/>
          <c:tx>
            <c:strRef>
              <c:f>'Q9 action'!$A$3</c:f>
              <c:strCache>
                <c:ptCount val="1"/>
                <c:pt idx="0">
                  <c:v>Usually</c:v>
                </c:pt>
              </c:strCache>
            </c:strRef>
          </c:tx>
          <c:spPr>
            <a:solidFill>
              <a:schemeClr val="accent2"/>
            </a:solidFill>
            <a:ln>
              <a:noFill/>
            </a:ln>
            <a:effectLst/>
          </c:spPr>
          <c:invertIfNegative val="0"/>
          <c:cat>
            <c:strRef>
              <c:f>'Q9 action'!$B$1:$E$1</c:f>
              <c:strCache>
                <c:ptCount val="4"/>
                <c:pt idx="0">
                  <c:v>Woolworths</c:v>
                </c:pt>
                <c:pt idx="1">
                  <c:v>Coles</c:v>
                </c:pt>
                <c:pt idx="2">
                  <c:v>Metcash</c:v>
                </c:pt>
                <c:pt idx="3">
                  <c:v>Aldi</c:v>
                </c:pt>
              </c:strCache>
            </c:strRef>
          </c:cat>
          <c:val>
            <c:numRef>
              <c:f>'Q9 action'!$B$3:$E$3</c:f>
              <c:numCache>
                <c:formatCode>General</c:formatCode>
                <c:ptCount val="4"/>
                <c:pt idx="0">
                  <c:v>105</c:v>
                </c:pt>
                <c:pt idx="1">
                  <c:v>106</c:v>
                </c:pt>
                <c:pt idx="2">
                  <c:v>102</c:v>
                </c:pt>
                <c:pt idx="3">
                  <c:v>64</c:v>
                </c:pt>
              </c:numCache>
            </c:numRef>
          </c:val>
          <c:extLst>
            <c:ext xmlns:c16="http://schemas.microsoft.com/office/drawing/2014/chart" uri="{C3380CC4-5D6E-409C-BE32-E72D297353CC}">
              <c16:uniqueId val="{00000001-1295-46C9-A10E-95BA3D6644A7}"/>
            </c:ext>
          </c:extLst>
        </c:ser>
        <c:ser>
          <c:idx val="2"/>
          <c:order val="2"/>
          <c:tx>
            <c:strRef>
              <c:f>'Q9 action'!$A$4</c:f>
              <c:strCache>
                <c:ptCount val="1"/>
                <c:pt idx="0">
                  <c:v>Sometimes</c:v>
                </c:pt>
              </c:strCache>
            </c:strRef>
          </c:tx>
          <c:spPr>
            <a:solidFill>
              <a:schemeClr val="accent3"/>
            </a:solidFill>
            <a:ln>
              <a:noFill/>
            </a:ln>
            <a:effectLst/>
          </c:spPr>
          <c:invertIfNegative val="0"/>
          <c:cat>
            <c:strRef>
              <c:f>'Q9 action'!$B$1:$E$1</c:f>
              <c:strCache>
                <c:ptCount val="4"/>
                <c:pt idx="0">
                  <c:v>Woolworths</c:v>
                </c:pt>
                <c:pt idx="1">
                  <c:v>Coles</c:v>
                </c:pt>
                <c:pt idx="2">
                  <c:v>Metcash</c:v>
                </c:pt>
                <c:pt idx="3">
                  <c:v>Aldi</c:v>
                </c:pt>
              </c:strCache>
            </c:strRef>
          </c:cat>
          <c:val>
            <c:numRef>
              <c:f>'Q9 action'!$B$4:$E$4</c:f>
              <c:numCache>
                <c:formatCode>General</c:formatCode>
                <c:ptCount val="4"/>
                <c:pt idx="0">
                  <c:v>39</c:v>
                </c:pt>
                <c:pt idx="1">
                  <c:v>40</c:v>
                </c:pt>
                <c:pt idx="2">
                  <c:v>27</c:v>
                </c:pt>
                <c:pt idx="3">
                  <c:v>15</c:v>
                </c:pt>
              </c:numCache>
            </c:numRef>
          </c:val>
          <c:extLst>
            <c:ext xmlns:c16="http://schemas.microsoft.com/office/drawing/2014/chart" uri="{C3380CC4-5D6E-409C-BE32-E72D297353CC}">
              <c16:uniqueId val="{00000002-1295-46C9-A10E-95BA3D6644A7}"/>
            </c:ext>
          </c:extLst>
        </c:ser>
        <c:ser>
          <c:idx val="3"/>
          <c:order val="3"/>
          <c:tx>
            <c:strRef>
              <c:f>'Q9 action'!$A$5</c:f>
              <c:strCache>
                <c:ptCount val="1"/>
                <c:pt idx="0">
                  <c:v>Rarely</c:v>
                </c:pt>
              </c:strCache>
            </c:strRef>
          </c:tx>
          <c:spPr>
            <a:solidFill>
              <a:schemeClr val="accent4"/>
            </a:solidFill>
            <a:ln>
              <a:noFill/>
            </a:ln>
            <a:effectLst/>
          </c:spPr>
          <c:invertIfNegative val="0"/>
          <c:cat>
            <c:strRef>
              <c:f>'Q9 action'!$B$1:$E$1</c:f>
              <c:strCache>
                <c:ptCount val="4"/>
                <c:pt idx="0">
                  <c:v>Woolworths</c:v>
                </c:pt>
                <c:pt idx="1">
                  <c:v>Coles</c:v>
                </c:pt>
                <c:pt idx="2">
                  <c:v>Metcash</c:v>
                </c:pt>
                <c:pt idx="3">
                  <c:v>Aldi</c:v>
                </c:pt>
              </c:strCache>
            </c:strRef>
          </c:cat>
          <c:val>
            <c:numRef>
              <c:f>'Q9 action'!$B$5:$E$5</c:f>
              <c:numCache>
                <c:formatCode>General</c:formatCode>
                <c:ptCount val="4"/>
                <c:pt idx="0">
                  <c:v>25</c:v>
                </c:pt>
                <c:pt idx="1">
                  <c:v>14</c:v>
                </c:pt>
                <c:pt idx="2">
                  <c:v>10</c:v>
                </c:pt>
                <c:pt idx="3">
                  <c:v>4</c:v>
                </c:pt>
              </c:numCache>
            </c:numRef>
          </c:val>
          <c:extLst>
            <c:ext xmlns:c16="http://schemas.microsoft.com/office/drawing/2014/chart" uri="{C3380CC4-5D6E-409C-BE32-E72D297353CC}">
              <c16:uniqueId val="{00000003-1295-46C9-A10E-95BA3D6644A7}"/>
            </c:ext>
          </c:extLst>
        </c:ser>
        <c:ser>
          <c:idx val="4"/>
          <c:order val="4"/>
          <c:tx>
            <c:strRef>
              <c:f>'Q9 action'!$A$6</c:f>
              <c:strCache>
                <c:ptCount val="1"/>
                <c:pt idx="0">
                  <c:v>Never</c:v>
                </c:pt>
              </c:strCache>
            </c:strRef>
          </c:tx>
          <c:spPr>
            <a:solidFill>
              <a:schemeClr val="accent5"/>
            </a:solidFill>
            <a:ln>
              <a:noFill/>
            </a:ln>
            <a:effectLst/>
          </c:spPr>
          <c:invertIfNegative val="0"/>
          <c:cat>
            <c:strRef>
              <c:f>'Q9 action'!$B$1:$E$1</c:f>
              <c:strCache>
                <c:ptCount val="4"/>
                <c:pt idx="0">
                  <c:v>Woolworths</c:v>
                </c:pt>
                <c:pt idx="1">
                  <c:v>Coles</c:v>
                </c:pt>
                <c:pt idx="2">
                  <c:v>Metcash</c:v>
                </c:pt>
                <c:pt idx="3">
                  <c:v>Aldi</c:v>
                </c:pt>
              </c:strCache>
            </c:strRef>
          </c:cat>
          <c:val>
            <c:numRef>
              <c:f>'Q9 action'!$B$6:$E$6</c:f>
              <c:numCache>
                <c:formatCode>General</c:formatCode>
                <c:ptCount val="4"/>
                <c:pt idx="0">
                  <c:v>1</c:v>
                </c:pt>
                <c:pt idx="1">
                  <c:v>1</c:v>
                </c:pt>
                <c:pt idx="2">
                  <c:v>3</c:v>
                </c:pt>
                <c:pt idx="3">
                  <c:v>2</c:v>
                </c:pt>
              </c:numCache>
            </c:numRef>
          </c:val>
          <c:extLst>
            <c:ext xmlns:c16="http://schemas.microsoft.com/office/drawing/2014/chart" uri="{C3380CC4-5D6E-409C-BE32-E72D297353CC}">
              <c16:uniqueId val="{00000004-1295-46C9-A10E-95BA3D6644A7}"/>
            </c:ext>
          </c:extLst>
        </c:ser>
        <c:dLbls>
          <c:showLegendKey val="0"/>
          <c:showVal val="0"/>
          <c:showCatName val="0"/>
          <c:showSerName val="0"/>
          <c:showPercent val="0"/>
          <c:showBubbleSize val="0"/>
        </c:dLbls>
        <c:gapWidth val="150"/>
        <c:overlap val="100"/>
        <c:axId val="2007271375"/>
        <c:axId val="2007271791"/>
      </c:barChart>
      <c:catAx>
        <c:axId val="20072713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271791"/>
        <c:crosses val="autoZero"/>
        <c:auto val="1"/>
        <c:lblAlgn val="ctr"/>
        <c:lblOffset val="100"/>
        <c:noMultiLvlLbl val="0"/>
      </c:catAx>
      <c:valAx>
        <c:axId val="20072717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271375"/>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tx>
            <c:strRef>
              <c:f>'Q10 issues experienced'!$C$1</c:f>
              <c:strCache>
                <c:ptCount val="1"/>
                <c:pt idx="0">
                  <c:v>Woolworths</c:v>
                </c:pt>
              </c:strCache>
            </c:strRef>
          </c:tx>
          <c:spPr>
            <a:solidFill>
              <a:schemeClr val="accent2"/>
            </a:solidFill>
            <a:ln>
              <a:noFill/>
            </a:ln>
            <a:effectLst/>
          </c:spPr>
          <c:invertIfNegative val="0"/>
          <c:cat>
            <c:strRef>
              <c:f>'Q10 issues experienced'!$A$3:$A$22</c:f>
              <c:strCache>
                <c:ptCount val="20"/>
                <c:pt idx="0">
                  <c:v>Payment later than agreed payment terms</c:v>
                </c:pt>
                <c:pt idx="1">
                  <c:v>Deductions off invoice/remittance without consent</c:v>
                </c:pt>
                <c:pt idx="2">
                  <c:v>Request for renegotiation of wastage payments opened up negotiations on other unrelated terms</c:v>
                </c:pt>
                <c:pt idx="3">
                  <c:v>Required payment as a condition of stocking or listing a new product without agreement</c:v>
                </c:pt>
                <c:pt idx="4">
                  <c:v>Required payment as a condition of continuing to stock or list an existing product (other than promotion funding)</c:v>
                </c:pt>
                <c:pt idx="5">
                  <c:v>Required payment for better positioning or increased shelf space without agreement</c:v>
                </c:pt>
                <c:pt idx="6">
                  <c:v>Required payment towards retailer/wholesaler business activities without agreement</c:v>
                </c:pt>
                <c:pt idx="7">
                  <c:v>Cancellation of promotion order or reduction of promotion order by &gt;10% (&gt;20% for MF&amp;G (Metcash)) without agreement</c:v>
                </c:pt>
                <c:pt idx="8">
                  <c:v>Retailer/wholesaler overordering at a promotional cost and selling at full price</c:v>
                </c:pt>
                <c:pt idx="9">
                  <c:v>Required to fund promotions despite it being unreasonable in the circumstances</c:v>
                </c:pt>
                <c:pt idx="10">
                  <c:v>Delisting without reasonable notice</c:v>
                </c:pt>
                <c:pt idx="11">
                  <c:v>Delisting without genuine commercial reason</c:v>
                </c:pt>
                <c:pt idx="12">
                  <c:v>Delisting as a result of a complaint or dispute raised</c:v>
                </c:pt>
                <c:pt idx="13">
                  <c:v>Significantly reducing distribution across stores or distribution centres without reasonable notice and genuine commercial reason</c:v>
                </c:pt>
                <c:pt idx="14">
                  <c:v>Material changes to supply chain procedures without notice or compensation</c:v>
                </c:pt>
                <c:pt idx="15">
                  <c:v>Infringing branding, packaging designs or advertising intellectual property when developing or producing private label products</c:v>
                </c:pt>
                <c:pt idx="16">
                  <c:v>Using confidential information for a purpose other that the purpose for which it was disclosed</c:v>
                </c:pt>
                <c:pt idx="17">
                  <c:v>Range decisions not in accordance with retailer/wholesaler's ranging principles</c:v>
                </c:pt>
                <c:pt idx="18">
                  <c:v>Retrospective variation of agreements</c:v>
                </c:pt>
                <c:pt idx="19">
                  <c:v>Other (please specify)</c:v>
                </c:pt>
              </c:strCache>
              <c:extLst/>
            </c:strRef>
          </c:cat>
          <c:val>
            <c:numRef>
              <c:f>'Q10 issues experienced'!$C$3:$C$22</c:f>
              <c:numCache>
                <c:formatCode>0%</c:formatCode>
                <c:ptCount val="20"/>
                <c:pt idx="0">
                  <c:v>6.3670411985018729E-2</c:v>
                </c:pt>
                <c:pt idx="1">
                  <c:v>7.116104868913857E-2</c:v>
                </c:pt>
                <c:pt idx="2">
                  <c:v>7.4906367041198503E-3</c:v>
                </c:pt>
                <c:pt idx="3">
                  <c:v>1.1235955056179775E-2</c:v>
                </c:pt>
                <c:pt idx="4">
                  <c:v>1.4981273408239701E-2</c:v>
                </c:pt>
                <c:pt idx="5">
                  <c:v>3.7453183520599251E-3</c:v>
                </c:pt>
                <c:pt idx="6">
                  <c:v>0</c:v>
                </c:pt>
                <c:pt idx="7">
                  <c:v>2.9962546816479401E-2</c:v>
                </c:pt>
                <c:pt idx="8">
                  <c:v>1.4981273408239701E-2</c:v>
                </c:pt>
                <c:pt idx="9">
                  <c:v>7.4906367041198504E-2</c:v>
                </c:pt>
                <c:pt idx="10">
                  <c:v>2.9962546816479401E-2</c:v>
                </c:pt>
                <c:pt idx="11">
                  <c:v>2.9962546816479401E-2</c:v>
                </c:pt>
                <c:pt idx="12">
                  <c:v>7.4906367041198503E-3</c:v>
                </c:pt>
                <c:pt idx="13">
                  <c:v>5.9925093632958802E-2</c:v>
                </c:pt>
                <c:pt idx="14">
                  <c:v>1.8726591760299626E-2</c:v>
                </c:pt>
                <c:pt idx="15">
                  <c:v>1.1235955056179775E-2</c:v>
                </c:pt>
                <c:pt idx="16">
                  <c:v>7.4906367041198503E-3</c:v>
                </c:pt>
                <c:pt idx="17">
                  <c:v>3.7453183520599252E-2</c:v>
                </c:pt>
                <c:pt idx="18">
                  <c:v>1.1235955056179775E-2</c:v>
                </c:pt>
                <c:pt idx="19">
                  <c:v>5.2434456928838954E-2</c:v>
                </c:pt>
              </c:numCache>
              <c:extLst/>
            </c:numRef>
          </c:val>
          <c:extLst>
            <c:ext xmlns:c16="http://schemas.microsoft.com/office/drawing/2014/chart" uri="{C3380CC4-5D6E-409C-BE32-E72D297353CC}">
              <c16:uniqueId val="{00000000-2737-49B4-B8BB-0CD611F28EC6}"/>
            </c:ext>
          </c:extLst>
        </c:ser>
        <c:ser>
          <c:idx val="3"/>
          <c:order val="3"/>
          <c:tx>
            <c:strRef>
              <c:f>'Q10 issues experienced'!$E$1</c:f>
              <c:strCache>
                <c:ptCount val="1"/>
                <c:pt idx="0">
                  <c:v>Coles</c:v>
                </c:pt>
              </c:strCache>
            </c:strRef>
          </c:tx>
          <c:spPr>
            <a:solidFill>
              <a:schemeClr val="accent4"/>
            </a:solidFill>
            <a:ln>
              <a:noFill/>
            </a:ln>
            <a:effectLst/>
          </c:spPr>
          <c:invertIfNegative val="0"/>
          <c:cat>
            <c:strRef>
              <c:f>'Q10 issues experienced'!$A$3:$A$22</c:f>
              <c:strCache>
                <c:ptCount val="20"/>
                <c:pt idx="0">
                  <c:v>Payment later than agreed payment terms</c:v>
                </c:pt>
                <c:pt idx="1">
                  <c:v>Deductions off invoice/remittance without consent</c:v>
                </c:pt>
                <c:pt idx="2">
                  <c:v>Request for renegotiation of wastage payments opened up negotiations on other unrelated terms</c:v>
                </c:pt>
                <c:pt idx="3">
                  <c:v>Required payment as a condition of stocking or listing a new product without agreement</c:v>
                </c:pt>
                <c:pt idx="4">
                  <c:v>Required payment as a condition of continuing to stock or list an existing product (other than promotion funding)</c:v>
                </c:pt>
                <c:pt idx="5">
                  <c:v>Required payment for better positioning or increased shelf space without agreement</c:v>
                </c:pt>
                <c:pt idx="6">
                  <c:v>Required payment towards retailer/wholesaler business activities without agreement</c:v>
                </c:pt>
                <c:pt idx="7">
                  <c:v>Cancellation of promotion order or reduction of promotion order by &gt;10% (&gt;20% for MF&amp;G (Metcash)) without agreement</c:v>
                </c:pt>
                <c:pt idx="8">
                  <c:v>Retailer/wholesaler overordering at a promotional cost and selling at full price</c:v>
                </c:pt>
                <c:pt idx="9">
                  <c:v>Required to fund promotions despite it being unreasonable in the circumstances</c:v>
                </c:pt>
                <c:pt idx="10">
                  <c:v>Delisting without reasonable notice</c:v>
                </c:pt>
                <c:pt idx="11">
                  <c:v>Delisting without genuine commercial reason</c:v>
                </c:pt>
                <c:pt idx="12">
                  <c:v>Delisting as a result of a complaint or dispute raised</c:v>
                </c:pt>
                <c:pt idx="13">
                  <c:v>Significantly reducing distribution across stores or distribution centres without reasonable notice and genuine commercial reason</c:v>
                </c:pt>
                <c:pt idx="14">
                  <c:v>Material changes to supply chain procedures without notice or compensation</c:v>
                </c:pt>
                <c:pt idx="15">
                  <c:v>Infringing branding, packaging designs or advertising intellectual property when developing or producing private label products</c:v>
                </c:pt>
                <c:pt idx="16">
                  <c:v>Using confidential information for a purpose other that the purpose for which it was disclosed</c:v>
                </c:pt>
                <c:pt idx="17">
                  <c:v>Range decisions not in accordance with retailer/wholesaler's ranging principles</c:v>
                </c:pt>
                <c:pt idx="18">
                  <c:v>Retrospective variation of agreements</c:v>
                </c:pt>
                <c:pt idx="19">
                  <c:v>Other (please specify)</c:v>
                </c:pt>
              </c:strCache>
              <c:extLst/>
            </c:strRef>
          </c:cat>
          <c:val>
            <c:numRef>
              <c:f>'Q10 issues experienced'!$E$3:$E$22</c:f>
              <c:numCache>
                <c:formatCode>0%</c:formatCode>
                <c:ptCount val="20"/>
                <c:pt idx="0">
                  <c:v>4.7445255474452552E-2</c:v>
                </c:pt>
                <c:pt idx="1">
                  <c:v>3.2846715328467155E-2</c:v>
                </c:pt>
                <c:pt idx="2">
                  <c:v>1.0948905109489052E-2</c:v>
                </c:pt>
                <c:pt idx="3">
                  <c:v>7.2992700729927005E-3</c:v>
                </c:pt>
                <c:pt idx="4">
                  <c:v>1.4598540145985401E-2</c:v>
                </c:pt>
                <c:pt idx="5">
                  <c:v>0</c:v>
                </c:pt>
                <c:pt idx="6">
                  <c:v>3.6496350364963502E-3</c:v>
                </c:pt>
                <c:pt idx="7">
                  <c:v>7.2992700729927005E-3</c:v>
                </c:pt>
                <c:pt idx="8">
                  <c:v>1.0948905109489052E-2</c:v>
                </c:pt>
                <c:pt idx="9">
                  <c:v>2.9197080291970802E-2</c:v>
                </c:pt>
                <c:pt idx="10">
                  <c:v>2.9197080291970802E-2</c:v>
                </c:pt>
                <c:pt idx="11">
                  <c:v>3.6496350364963501E-2</c:v>
                </c:pt>
                <c:pt idx="12">
                  <c:v>0</c:v>
                </c:pt>
                <c:pt idx="13">
                  <c:v>4.7445255474452552E-2</c:v>
                </c:pt>
                <c:pt idx="14">
                  <c:v>1.0948905109489052E-2</c:v>
                </c:pt>
                <c:pt idx="15">
                  <c:v>0</c:v>
                </c:pt>
                <c:pt idx="16">
                  <c:v>3.6496350364963502E-3</c:v>
                </c:pt>
                <c:pt idx="17">
                  <c:v>2.5547445255474453E-2</c:v>
                </c:pt>
                <c:pt idx="18">
                  <c:v>1.4598540145985401E-2</c:v>
                </c:pt>
                <c:pt idx="19">
                  <c:v>3.2846715328467155E-2</c:v>
                </c:pt>
              </c:numCache>
              <c:extLst/>
            </c:numRef>
          </c:val>
          <c:extLst>
            <c:ext xmlns:c16="http://schemas.microsoft.com/office/drawing/2014/chart" uri="{C3380CC4-5D6E-409C-BE32-E72D297353CC}">
              <c16:uniqueId val="{00000001-2737-49B4-B8BB-0CD611F28EC6}"/>
            </c:ext>
          </c:extLst>
        </c:ser>
        <c:ser>
          <c:idx val="5"/>
          <c:order val="5"/>
          <c:tx>
            <c:strRef>
              <c:f>'Q10 issues experienced'!$G$1</c:f>
              <c:strCache>
                <c:ptCount val="1"/>
                <c:pt idx="0">
                  <c:v>Metcash</c:v>
                </c:pt>
              </c:strCache>
            </c:strRef>
          </c:tx>
          <c:spPr>
            <a:solidFill>
              <a:schemeClr val="accent6"/>
            </a:solidFill>
            <a:ln>
              <a:noFill/>
            </a:ln>
            <a:effectLst/>
          </c:spPr>
          <c:invertIfNegative val="0"/>
          <c:cat>
            <c:strRef>
              <c:f>'Q10 issues experienced'!$A$3:$A$22</c:f>
              <c:strCache>
                <c:ptCount val="20"/>
                <c:pt idx="0">
                  <c:v>Payment later than agreed payment terms</c:v>
                </c:pt>
                <c:pt idx="1">
                  <c:v>Deductions off invoice/remittance without consent</c:v>
                </c:pt>
                <c:pt idx="2">
                  <c:v>Request for renegotiation of wastage payments opened up negotiations on other unrelated terms</c:v>
                </c:pt>
                <c:pt idx="3">
                  <c:v>Required payment as a condition of stocking or listing a new product without agreement</c:v>
                </c:pt>
                <c:pt idx="4">
                  <c:v>Required payment as a condition of continuing to stock or list an existing product (other than promotion funding)</c:v>
                </c:pt>
                <c:pt idx="5">
                  <c:v>Required payment for better positioning or increased shelf space without agreement</c:v>
                </c:pt>
                <c:pt idx="6">
                  <c:v>Required payment towards retailer/wholesaler business activities without agreement</c:v>
                </c:pt>
                <c:pt idx="7">
                  <c:v>Cancellation of promotion order or reduction of promotion order by &gt;10% (&gt;20% for MF&amp;G (Metcash)) without agreement</c:v>
                </c:pt>
                <c:pt idx="8">
                  <c:v>Retailer/wholesaler overordering at a promotional cost and selling at full price</c:v>
                </c:pt>
                <c:pt idx="9">
                  <c:v>Required to fund promotions despite it being unreasonable in the circumstances</c:v>
                </c:pt>
                <c:pt idx="10">
                  <c:v>Delisting without reasonable notice</c:v>
                </c:pt>
                <c:pt idx="11">
                  <c:v>Delisting without genuine commercial reason</c:v>
                </c:pt>
                <c:pt idx="12">
                  <c:v>Delisting as a result of a complaint or dispute raised</c:v>
                </c:pt>
                <c:pt idx="13">
                  <c:v>Significantly reducing distribution across stores or distribution centres without reasonable notice and genuine commercial reason</c:v>
                </c:pt>
                <c:pt idx="14">
                  <c:v>Material changes to supply chain procedures without notice or compensation</c:v>
                </c:pt>
                <c:pt idx="15">
                  <c:v>Infringing branding, packaging designs or advertising intellectual property when developing or producing private label products</c:v>
                </c:pt>
                <c:pt idx="16">
                  <c:v>Using confidential information for a purpose other that the purpose for which it was disclosed</c:v>
                </c:pt>
                <c:pt idx="17">
                  <c:v>Range decisions not in accordance with retailer/wholesaler's ranging principles</c:v>
                </c:pt>
                <c:pt idx="18">
                  <c:v>Retrospective variation of agreements</c:v>
                </c:pt>
                <c:pt idx="19">
                  <c:v>Other (please specify)</c:v>
                </c:pt>
              </c:strCache>
              <c:extLst/>
            </c:strRef>
          </c:cat>
          <c:val>
            <c:numRef>
              <c:f>'Q10 issues experienced'!$G$3:$G$22</c:f>
              <c:numCache>
                <c:formatCode>0%</c:formatCode>
                <c:ptCount val="20"/>
                <c:pt idx="0">
                  <c:v>7.4688796680497924E-2</c:v>
                </c:pt>
                <c:pt idx="1">
                  <c:v>5.3941908713692949E-2</c:v>
                </c:pt>
                <c:pt idx="2">
                  <c:v>8.2987551867219917E-3</c:v>
                </c:pt>
                <c:pt idx="3">
                  <c:v>8.2987551867219917E-3</c:v>
                </c:pt>
                <c:pt idx="4">
                  <c:v>8.2987551867219917E-3</c:v>
                </c:pt>
                <c:pt idx="5">
                  <c:v>0</c:v>
                </c:pt>
                <c:pt idx="6">
                  <c:v>4.1493775933609959E-3</c:v>
                </c:pt>
                <c:pt idx="7">
                  <c:v>1.6597510373443983E-2</c:v>
                </c:pt>
                <c:pt idx="8">
                  <c:v>3.3195020746887967E-2</c:v>
                </c:pt>
                <c:pt idx="9">
                  <c:v>3.3195020746887967E-2</c:v>
                </c:pt>
                <c:pt idx="10">
                  <c:v>2.0746887966804978E-2</c:v>
                </c:pt>
                <c:pt idx="11">
                  <c:v>0</c:v>
                </c:pt>
                <c:pt idx="12">
                  <c:v>0</c:v>
                </c:pt>
                <c:pt idx="13">
                  <c:v>4.1493775933609959E-3</c:v>
                </c:pt>
                <c:pt idx="14">
                  <c:v>0</c:v>
                </c:pt>
                <c:pt idx="15">
                  <c:v>0</c:v>
                </c:pt>
                <c:pt idx="16">
                  <c:v>0</c:v>
                </c:pt>
                <c:pt idx="17">
                  <c:v>2.0746887966804978E-2</c:v>
                </c:pt>
                <c:pt idx="18">
                  <c:v>2.4896265560165973E-2</c:v>
                </c:pt>
                <c:pt idx="19">
                  <c:v>2.0746887966804978E-2</c:v>
                </c:pt>
              </c:numCache>
              <c:extLst/>
            </c:numRef>
          </c:val>
          <c:extLst>
            <c:ext xmlns:c16="http://schemas.microsoft.com/office/drawing/2014/chart" uri="{C3380CC4-5D6E-409C-BE32-E72D297353CC}">
              <c16:uniqueId val="{00000002-2737-49B4-B8BB-0CD611F28EC6}"/>
            </c:ext>
          </c:extLst>
        </c:ser>
        <c:ser>
          <c:idx val="7"/>
          <c:order val="7"/>
          <c:tx>
            <c:strRef>
              <c:f>'Q10 issues experienced'!$I$1</c:f>
              <c:strCache>
                <c:ptCount val="1"/>
                <c:pt idx="0">
                  <c:v>Aldi</c:v>
                </c:pt>
              </c:strCache>
            </c:strRef>
          </c:tx>
          <c:spPr>
            <a:solidFill>
              <a:schemeClr val="accent2">
                <a:lumMod val="60000"/>
              </a:schemeClr>
            </a:solidFill>
            <a:ln>
              <a:noFill/>
            </a:ln>
            <a:effectLst/>
          </c:spPr>
          <c:invertIfNegative val="0"/>
          <c:cat>
            <c:strRef>
              <c:f>'Q10 issues experienced'!$A$3:$A$22</c:f>
              <c:strCache>
                <c:ptCount val="20"/>
                <c:pt idx="0">
                  <c:v>Payment later than agreed payment terms</c:v>
                </c:pt>
                <c:pt idx="1">
                  <c:v>Deductions off invoice/remittance without consent</c:v>
                </c:pt>
                <c:pt idx="2">
                  <c:v>Request for renegotiation of wastage payments opened up negotiations on other unrelated terms</c:v>
                </c:pt>
                <c:pt idx="3">
                  <c:v>Required payment as a condition of stocking or listing a new product without agreement</c:v>
                </c:pt>
                <c:pt idx="4">
                  <c:v>Required payment as a condition of continuing to stock or list an existing product (other than promotion funding)</c:v>
                </c:pt>
                <c:pt idx="5">
                  <c:v>Required payment for better positioning or increased shelf space without agreement</c:v>
                </c:pt>
                <c:pt idx="6">
                  <c:v>Required payment towards retailer/wholesaler business activities without agreement</c:v>
                </c:pt>
                <c:pt idx="7">
                  <c:v>Cancellation of promotion order or reduction of promotion order by &gt;10% (&gt;20% for MF&amp;G (Metcash)) without agreement</c:v>
                </c:pt>
                <c:pt idx="8">
                  <c:v>Retailer/wholesaler overordering at a promotional cost and selling at full price</c:v>
                </c:pt>
                <c:pt idx="9">
                  <c:v>Required to fund promotions despite it being unreasonable in the circumstances</c:v>
                </c:pt>
                <c:pt idx="10">
                  <c:v>Delisting without reasonable notice</c:v>
                </c:pt>
                <c:pt idx="11">
                  <c:v>Delisting without genuine commercial reason</c:v>
                </c:pt>
                <c:pt idx="12">
                  <c:v>Delisting as a result of a complaint or dispute raised</c:v>
                </c:pt>
                <c:pt idx="13">
                  <c:v>Significantly reducing distribution across stores or distribution centres without reasonable notice and genuine commercial reason</c:v>
                </c:pt>
                <c:pt idx="14">
                  <c:v>Material changes to supply chain procedures without notice or compensation</c:v>
                </c:pt>
                <c:pt idx="15">
                  <c:v>Infringing branding, packaging designs or advertising intellectual property when developing or producing private label products</c:v>
                </c:pt>
                <c:pt idx="16">
                  <c:v>Using confidential information for a purpose other that the purpose for which it was disclosed</c:v>
                </c:pt>
                <c:pt idx="17">
                  <c:v>Range decisions not in accordance with retailer/wholesaler's ranging principles</c:v>
                </c:pt>
                <c:pt idx="18">
                  <c:v>Retrospective variation of agreements</c:v>
                </c:pt>
                <c:pt idx="19">
                  <c:v>Other (please specify)</c:v>
                </c:pt>
              </c:strCache>
              <c:extLst/>
            </c:strRef>
          </c:cat>
          <c:val>
            <c:numRef>
              <c:f>'Q10 issues experienced'!$I$3:$I$22</c:f>
              <c:numCache>
                <c:formatCode>0%</c:formatCode>
                <c:ptCount val="20"/>
                <c:pt idx="0">
                  <c:v>8.294930875576037E-2</c:v>
                </c:pt>
                <c:pt idx="1">
                  <c:v>3.6866359447004608E-2</c:v>
                </c:pt>
                <c:pt idx="2">
                  <c:v>0</c:v>
                </c:pt>
                <c:pt idx="3">
                  <c:v>0</c:v>
                </c:pt>
                <c:pt idx="4">
                  <c:v>0</c:v>
                </c:pt>
                <c:pt idx="5">
                  <c:v>0</c:v>
                </c:pt>
                <c:pt idx="6">
                  <c:v>0</c:v>
                </c:pt>
                <c:pt idx="7">
                  <c:v>0</c:v>
                </c:pt>
                <c:pt idx="8">
                  <c:v>1.3824884792626729E-2</c:v>
                </c:pt>
                <c:pt idx="9">
                  <c:v>9.2165898617511521E-3</c:v>
                </c:pt>
                <c:pt idx="10">
                  <c:v>4.608294930875576E-3</c:v>
                </c:pt>
                <c:pt idx="11">
                  <c:v>4.608294930875576E-3</c:v>
                </c:pt>
                <c:pt idx="12">
                  <c:v>4.608294930875576E-3</c:v>
                </c:pt>
                <c:pt idx="13">
                  <c:v>1.3824884792626729E-2</c:v>
                </c:pt>
                <c:pt idx="14">
                  <c:v>0</c:v>
                </c:pt>
                <c:pt idx="15">
                  <c:v>4.608294930875576E-3</c:v>
                </c:pt>
                <c:pt idx="16">
                  <c:v>4.608294930875576E-3</c:v>
                </c:pt>
                <c:pt idx="17">
                  <c:v>0</c:v>
                </c:pt>
                <c:pt idx="18">
                  <c:v>4.608294930875576E-3</c:v>
                </c:pt>
                <c:pt idx="19">
                  <c:v>3.6866359447004608E-2</c:v>
                </c:pt>
              </c:numCache>
              <c:extLst/>
            </c:numRef>
          </c:val>
          <c:extLst>
            <c:ext xmlns:c16="http://schemas.microsoft.com/office/drawing/2014/chart" uri="{C3380CC4-5D6E-409C-BE32-E72D297353CC}">
              <c16:uniqueId val="{00000003-2737-49B4-B8BB-0CD611F28EC6}"/>
            </c:ext>
          </c:extLst>
        </c:ser>
        <c:dLbls>
          <c:showLegendKey val="0"/>
          <c:showVal val="0"/>
          <c:showCatName val="0"/>
          <c:showSerName val="0"/>
          <c:showPercent val="0"/>
          <c:showBubbleSize val="0"/>
        </c:dLbls>
        <c:gapWidth val="182"/>
        <c:axId val="429127967"/>
        <c:axId val="429131711"/>
        <c:extLst>
          <c:ext xmlns:c15="http://schemas.microsoft.com/office/drawing/2012/chart" uri="{02D57815-91ED-43cb-92C2-25804820EDAC}">
            <c15:filteredBarSeries>
              <c15:ser>
                <c:idx val="0"/>
                <c:order val="0"/>
                <c:tx>
                  <c:strRef>
                    <c:extLst>
                      <c:ext uri="{02D57815-91ED-43cb-92C2-25804820EDAC}">
                        <c15:formulaRef>
                          <c15:sqref>'Q10 issues experienced'!$B$1</c15:sqref>
                        </c15:formulaRef>
                      </c:ext>
                    </c:extLst>
                    <c:strCache>
                      <c:ptCount val="1"/>
                      <c:pt idx="0">
                        <c:v>Woolworths</c:v>
                      </c:pt>
                    </c:strCache>
                  </c:strRef>
                </c:tx>
                <c:spPr>
                  <a:solidFill>
                    <a:schemeClr val="accent1"/>
                  </a:solidFill>
                  <a:ln>
                    <a:noFill/>
                  </a:ln>
                  <a:effectLst/>
                </c:spPr>
                <c:invertIfNegative val="0"/>
                <c:cat>
                  <c:strRef>
                    <c:extLst>
                      <c:ext uri="{02D57815-91ED-43cb-92C2-25804820EDAC}">
                        <c15:formulaRef>
                          <c15:sqref>'Q10 issues experienced'!$A$3:$A$22</c15:sqref>
                        </c15:formulaRef>
                      </c:ext>
                    </c:extLst>
                    <c:strCache>
                      <c:ptCount val="20"/>
                      <c:pt idx="0">
                        <c:v>Payment later than agreed payment terms</c:v>
                      </c:pt>
                      <c:pt idx="1">
                        <c:v>Deductions off invoice/remittance without consent</c:v>
                      </c:pt>
                      <c:pt idx="2">
                        <c:v>Request for renegotiation of wastage payments opened up negotiations on other unrelated terms</c:v>
                      </c:pt>
                      <c:pt idx="3">
                        <c:v>Required payment as a condition of stocking or listing a new product without agreement</c:v>
                      </c:pt>
                      <c:pt idx="4">
                        <c:v>Required payment as a condition of continuing to stock or list an existing product (other than promotion funding)</c:v>
                      </c:pt>
                      <c:pt idx="5">
                        <c:v>Required payment for better positioning or increased shelf space without agreement</c:v>
                      </c:pt>
                      <c:pt idx="6">
                        <c:v>Required payment towards retailer/wholesaler business activities without agreement</c:v>
                      </c:pt>
                      <c:pt idx="7">
                        <c:v>Cancellation of promotion order or reduction of promotion order by &gt;10% (&gt;20% for MF&amp;G (Metcash)) without agreement</c:v>
                      </c:pt>
                      <c:pt idx="8">
                        <c:v>Retailer/wholesaler overordering at a promotional cost and selling at full price</c:v>
                      </c:pt>
                      <c:pt idx="9">
                        <c:v>Required to fund promotions despite it being unreasonable in the circumstances</c:v>
                      </c:pt>
                      <c:pt idx="10">
                        <c:v>Delisting without reasonable notice</c:v>
                      </c:pt>
                      <c:pt idx="11">
                        <c:v>Delisting without genuine commercial reason</c:v>
                      </c:pt>
                      <c:pt idx="12">
                        <c:v>Delisting as a result of a complaint or dispute raised</c:v>
                      </c:pt>
                      <c:pt idx="13">
                        <c:v>Significantly reducing distribution across stores or distribution centres without reasonable notice and genuine commercial reason</c:v>
                      </c:pt>
                      <c:pt idx="14">
                        <c:v>Material changes to supply chain procedures without notice or compensation</c:v>
                      </c:pt>
                      <c:pt idx="15">
                        <c:v>Infringing branding, packaging designs or advertising intellectual property when developing or producing private label products</c:v>
                      </c:pt>
                      <c:pt idx="16">
                        <c:v>Using confidential information for a purpose other that the purpose for which it was disclosed</c:v>
                      </c:pt>
                      <c:pt idx="17">
                        <c:v>Range decisions not in accordance with retailer/wholesaler's ranging principles</c:v>
                      </c:pt>
                      <c:pt idx="18">
                        <c:v>Retrospective variation of agreements</c:v>
                      </c:pt>
                      <c:pt idx="19">
                        <c:v>Other (please specify)</c:v>
                      </c:pt>
                    </c:strCache>
                  </c:strRef>
                </c:cat>
                <c:val>
                  <c:numRef>
                    <c:extLst>
                      <c:ext uri="{02D57815-91ED-43cb-92C2-25804820EDAC}">
                        <c15:formulaRef>
                          <c15:sqref>'Q10 issues experienced'!$B$3:$B$22</c15:sqref>
                        </c15:formulaRef>
                      </c:ext>
                    </c:extLst>
                    <c:numCache>
                      <c:formatCode>General</c:formatCode>
                      <c:ptCount val="20"/>
                      <c:pt idx="0">
                        <c:v>17</c:v>
                      </c:pt>
                      <c:pt idx="1">
                        <c:v>19</c:v>
                      </c:pt>
                      <c:pt idx="2">
                        <c:v>2</c:v>
                      </c:pt>
                      <c:pt idx="3">
                        <c:v>3</c:v>
                      </c:pt>
                      <c:pt idx="4">
                        <c:v>4</c:v>
                      </c:pt>
                      <c:pt idx="5">
                        <c:v>1</c:v>
                      </c:pt>
                      <c:pt idx="6">
                        <c:v>0</c:v>
                      </c:pt>
                      <c:pt idx="7">
                        <c:v>8</c:v>
                      </c:pt>
                      <c:pt idx="8">
                        <c:v>4</c:v>
                      </c:pt>
                      <c:pt idx="9">
                        <c:v>20</c:v>
                      </c:pt>
                      <c:pt idx="10">
                        <c:v>8</c:v>
                      </c:pt>
                      <c:pt idx="11">
                        <c:v>8</c:v>
                      </c:pt>
                      <c:pt idx="12">
                        <c:v>2</c:v>
                      </c:pt>
                      <c:pt idx="13">
                        <c:v>16</c:v>
                      </c:pt>
                      <c:pt idx="14">
                        <c:v>5</c:v>
                      </c:pt>
                      <c:pt idx="15">
                        <c:v>3</c:v>
                      </c:pt>
                      <c:pt idx="16">
                        <c:v>2</c:v>
                      </c:pt>
                      <c:pt idx="17">
                        <c:v>10</c:v>
                      </c:pt>
                      <c:pt idx="18">
                        <c:v>3</c:v>
                      </c:pt>
                      <c:pt idx="19">
                        <c:v>14</c:v>
                      </c:pt>
                    </c:numCache>
                  </c:numRef>
                </c:val>
                <c:extLst>
                  <c:ext xmlns:c16="http://schemas.microsoft.com/office/drawing/2014/chart" uri="{C3380CC4-5D6E-409C-BE32-E72D297353CC}">
                    <c16:uniqueId val="{00000004-2737-49B4-B8BB-0CD611F28EC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'Q10 issues experienced'!$D$1</c15:sqref>
                        </c15:formulaRef>
                      </c:ext>
                    </c:extLst>
                    <c:strCache>
                      <c:ptCount val="1"/>
                      <c:pt idx="0">
                        <c:v>Coles</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'Q10 issues experienced'!$A$3:$A$22</c15:sqref>
                        </c15:formulaRef>
                      </c:ext>
                    </c:extLst>
                    <c:strCache>
                      <c:ptCount val="20"/>
                      <c:pt idx="0">
                        <c:v>Payment later than agreed payment terms</c:v>
                      </c:pt>
                      <c:pt idx="1">
                        <c:v>Deductions off invoice/remittance without consent</c:v>
                      </c:pt>
                      <c:pt idx="2">
                        <c:v>Request for renegotiation of wastage payments opened up negotiations on other unrelated terms</c:v>
                      </c:pt>
                      <c:pt idx="3">
                        <c:v>Required payment as a condition of stocking or listing a new product without agreement</c:v>
                      </c:pt>
                      <c:pt idx="4">
                        <c:v>Required payment as a condition of continuing to stock or list an existing product (other than promotion funding)</c:v>
                      </c:pt>
                      <c:pt idx="5">
                        <c:v>Required payment for better positioning or increased shelf space without agreement</c:v>
                      </c:pt>
                      <c:pt idx="6">
                        <c:v>Required payment towards retailer/wholesaler business activities without agreement</c:v>
                      </c:pt>
                      <c:pt idx="7">
                        <c:v>Cancellation of promotion order or reduction of promotion order by &gt;10% (&gt;20% for MF&amp;G (Metcash)) without agreement</c:v>
                      </c:pt>
                      <c:pt idx="8">
                        <c:v>Retailer/wholesaler overordering at a promotional cost and selling at full price</c:v>
                      </c:pt>
                      <c:pt idx="9">
                        <c:v>Required to fund promotions despite it being unreasonable in the circumstances</c:v>
                      </c:pt>
                      <c:pt idx="10">
                        <c:v>Delisting without reasonable notice</c:v>
                      </c:pt>
                      <c:pt idx="11">
                        <c:v>Delisting without genuine commercial reason</c:v>
                      </c:pt>
                      <c:pt idx="12">
                        <c:v>Delisting as a result of a complaint or dispute raised</c:v>
                      </c:pt>
                      <c:pt idx="13">
                        <c:v>Significantly reducing distribution across stores or distribution centres without reasonable notice and genuine commercial reason</c:v>
                      </c:pt>
                      <c:pt idx="14">
                        <c:v>Material changes to supply chain procedures without notice or compensation</c:v>
                      </c:pt>
                      <c:pt idx="15">
                        <c:v>Infringing branding, packaging designs or advertising intellectual property when developing or producing private label products</c:v>
                      </c:pt>
                      <c:pt idx="16">
                        <c:v>Using confidential information for a purpose other that the purpose for which it was disclosed</c:v>
                      </c:pt>
                      <c:pt idx="17">
                        <c:v>Range decisions not in accordance with retailer/wholesaler's ranging principles</c:v>
                      </c:pt>
                      <c:pt idx="18">
                        <c:v>Retrospective variation of agreements</c:v>
                      </c:pt>
                      <c:pt idx="19">
                        <c:v>Other (please specify)</c:v>
                      </c:pt>
                    </c:strCache>
                  </c:strRef>
                </c:cat>
                <c:val>
                  <c:numRef>
                    <c:extLst xmlns:c15="http://schemas.microsoft.com/office/drawing/2012/chart">
                      <c:ext xmlns:c15="http://schemas.microsoft.com/office/drawing/2012/chart" uri="{02D57815-91ED-43cb-92C2-25804820EDAC}">
                        <c15:formulaRef>
                          <c15:sqref>'Q10 issues experienced'!$D$3:$D$22</c15:sqref>
                        </c15:formulaRef>
                      </c:ext>
                    </c:extLst>
                    <c:numCache>
                      <c:formatCode>General</c:formatCode>
                      <c:ptCount val="20"/>
                      <c:pt idx="0">
                        <c:v>13</c:v>
                      </c:pt>
                      <c:pt idx="1">
                        <c:v>9</c:v>
                      </c:pt>
                      <c:pt idx="2">
                        <c:v>3</c:v>
                      </c:pt>
                      <c:pt idx="3">
                        <c:v>2</c:v>
                      </c:pt>
                      <c:pt idx="4">
                        <c:v>4</c:v>
                      </c:pt>
                      <c:pt idx="5">
                        <c:v>0</c:v>
                      </c:pt>
                      <c:pt idx="6">
                        <c:v>1</c:v>
                      </c:pt>
                      <c:pt idx="7">
                        <c:v>2</c:v>
                      </c:pt>
                      <c:pt idx="8">
                        <c:v>3</c:v>
                      </c:pt>
                      <c:pt idx="9">
                        <c:v>8</c:v>
                      </c:pt>
                      <c:pt idx="10">
                        <c:v>8</c:v>
                      </c:pt>
                      <c:pt idx="11">
                        <c:v>10</c:v>
                      </c:pt>
                      <c:pt idx="12">
                        <c:v>0</c:v>
                      </c:pt>
                      <c:pt idx="13">
                        <c:v>13</c:v>
                      </c:pt>
                      <c:pt idx="14">
                        <c:v>3</c:v>
                      </c:pt>
                      <c:pt idx="15">
                        <c:v>0</c:v>
                      </c:pt>
                      <c:pt idx="16">
                        <c:v>1</c:v>
                      </c:pt>
                      <c:pt idx="17">
                        <c:v>7</c:v>
                      </c:pt>
                      <c:pt idx="18">
                        <c:v>4</c:v>
                      </c:pt>
                      <c:pt idx="19">
                        <c:v>9</c:v>
                      </c:pt>
                    </c:numCache>
                  </c:numRef>
                </c:val>
                <c:extLst xmlns:c15="http://schemas.microsoft.com/office/drawing/2012/chart">
                  <c:ext xmlns:c16="http://schemas.microsoft.com/office/drawing/2014/chart" uri="{C3380CC4-5D6E-409C-BE32-E72D297353CC}">
                    <c16:uniqueId val="{00000005-2737-49B4-B8BB-0CD611F28EC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'Q10 issues experienced'!$F$1</c15:sqref>
                        </c15:formulaRef>
                      </c:ext>
                    </c:extLst>
                    <c:strCache>
                      <c:ptCount val="1"/>
                      <c:pt idx="0">
                        <c:v>Metcash</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'Q10 issues experienced'!$A$3:$A$22</c15:sqref>
                        </c15:formulaRef>
                      </c:ext>
                    </c:extLst>
                    <c:strCache>
                      <c:ptCount val="20"/>
                      <c:pt idx="0">
                        <c:v>Payment later than agreed payment terms</c:v>
                      </c:pt>
                      <c:pt idx="1">
                        <c:v>Deductions off invoice/remittance without consent</c:v>
                      </c:pt>
                      <c:pt idx="2">
                        <c:v>Request for renegotiation of wastage payments opened up negotiations on other unrelated terms</c:v>
                      </c:pt>
                      <c:pt idx="3">
                        <c:v>Required payment as a condition of stocking or listing a new product without agreement</c:v>
                      </c:pt>
                      <c:pt idx="4">
                        <c:v>Required payment as a condition of continuing to stock or list an existing product (other than promotion funding)</c:v>
                      </c:pt>
                      <c:pt idx="5">
                        <c:v>Required payment for better positioning or increased shelf space without agreement</c:v>
                      </c:pt>
                      <c:pt idx="6">
                        <c:v>Required payment towards retailer/wholesaler business activities without agreement</c:v>
                      </c:pt>
                      <c:pt idx="7">
                        <c:v>Cancellation of promotion order or reduction of promotion order by &gt;10% (&gt;20% for MF&amp;G (Metcash)) without agreement</c:v>
                      </c:pt>
                      <c:pt idx="8">
                        <c:v>Retailer/wholesaler overordering at a promotional cost and selling at full price</c:v>
                      </c:pt>
                      <c:pt idx="9">
                        <c:v>Required to fund promotions despite it being unreasonable in the circumstances</c:v>
                      </c:pt>
                      <c:pt idx="10">
                        <c:v>Delisting without reasonable notice</c:v>
                      </c:pt>
                      <c:pt idx="11">
                        <c:v>Delisting without genuine commercial reason</c:v>
                      </c:pt>
                      <c:pt idx="12">
                        <c:v>Delisting as a result of a complaint or dispute raised</c:v>
                      </c:pt>
                      <c:pt idx="13">
                        <c:v>Significantly reducing distribution across stores or distribution centres without reasonable notice and genuine commercial reason</c:v>
                      </c:pt>
                      <c:pt idx="14">
                        <c:v>Material changes to supply chain procedures without notice or compensation</c:v>
                      </c:pt>
                      <c:pt idx="15">
                        <c:v>Infringing branding, packaging designs or advertising intellectual property when developing or producing private label products</c:v>
                      </c:pt>
                      <c:pt idx="16">
                        <c:v>Using confidential information for a purpose other that the purpose for which it was disclosed</c:v>
                      </c:pt>
                      <c:pt idx="17">
                        <c:v>Range decisions not in accordance with retailer/wholesaler's ranging principles</c:v>
                      </c:pt>
                      <c:pt idx="18">
                        <c:v>Retrospective variation of agreements</c:v>
                      </c:pt>
                      <c:pt idx="19">
                        <c:v>Other (please specify)</c:v>
                      </c:pt>
                    </c:strCache>
                  </c:strRef>
                </c:cat>
                <c:val>
                  <c:numRef>
                    <c:extLst xmlns:c15="http://schemas.microsoft.com/office/drawing/2012/chart">
                      <c:ext xmlns:c15="http://schemas.microsoft.com/office/drawing/2012/chart" uri="{02D57815-91ED-43cb-92C2-25804820EDAC}">
                        <c15:formulaRef>
                          <c15:sqref>'Q10 issues experienced'!$F$3:$F$22</c15:sqref>
                        </c15:formulaRef>
                      </c:ext>
                    </c:extLst>
                    <c:numCache>
                      <c:formatCode>General</c:formatCode>
                      <c:ptCount val="20"/>
                      <c:pt idx="0">
                        <c:v>18</c:v>
                      </c:pt>
                      <c:pt idx="1">
                        <c:v>13</c:v>
                      </c:pt>
                      <c:pt idx="2">
                        <c:v>2</c:v>
                      </c:pt>
                      <c:pt idx="3">
                        <c:v>2</c:v>
                      </c:pt>
                      <c:pt idx="4">
                        <c:v>2</c:v>
                      </c:pt>
                      <c:pt idx="5">
                        <c:v>0</c:v>
                      </c:pt>
                      <c:pt idx="6">
                        <c:v>1</c:v>
                      </c:pt>
                      <c:pt idx="7">
                        <c:v>4</c:v>
                      </c:pt>
                      <c:pt idx="8">
                        <c:v>8</c:v>
                      </c:pt>
                      <c:pt idx="9">
                        <c:v>8</c:v>
                      </c:pt>
                      <c:pt idx="10">
                        <c:v>5</c:v>
                      </c:pt>
                      <c:pt idx="11">
                        <c:v>0</c:v>
                      </c:pt>
                      <c:pt idx="12">
                        <c:v>0</c:v>
                      </c:pt>
                      <c:pt idx="13">
                        <c:v>1</c:v>
                      </c:pt>
                      <c:pt idx="14">
                        <c:v>0</c:v>
                      </c:pt>
                      <c:pt idx="15">
                        <c:v>0</c:v>
                      </c:pt>
                      <c:pt idx="16">
                        <c:v>0</c:v>
                      </c:pt>
                      <c:pt idx="17">
                        <c:v>5</c:v>
                      </c:pt>
                      <c:pt idx="18">
                        <c:v>6</c:v>
                      </c:pt>
                      <c:pt idx="19">
                        <c:v>5</c:v>
                      </c:pt>
                    </c:numCache>
                  </c:numRef>
                </c:val>
                <c:extLst xmlns:c15="http://schemas.microsoft.com/office/drawing/2012/chart">
                  <c:ext xmlns:c16="http://schemas.microsoft.com/office/drawing/2014/chart" uri="{C3380CC4-5D6E-409C-BE32-E72D297353CC}">
                    <c16:uniqueId val="{00000006-2737-49B4-B8BB-0CD611F28EC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'Q10 issues experienced'!$H$1</c15:sqref>
                        </c15:formulaRef>
                      </c:ext>
                    </c:extLst>
                    <c:strCache>
                      <c:ptCount val="1"/>
                      <c:pt idx="0">
                        <c:v>Aldi</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'Q10 issues experienced'!$A$3:$A$22</c15:sqref>
                        </c15:formulaRef>
                      </c:ext>
                    </c:extLst>
                    <c:strCache>
                      <c:ptCount val="20"/>
                      <c:pt idx="0">
                        <c:v>Payment later than agreed payment terms</c:v>
                      </c:pt>
                      <c:pt idx="1">
                        <c:v>Deductions off invoice/remittance without consent</c:v>
                      </c:pt>
                      <c:pt idx="2">
                        <c:v>Request for renegotiation of wastage payments opened up negotiations on other unrelated terms</c:v>
                      </c:pt>
                      <c:pt idx="3">
                        <c:v>Required payment as a condition of stocking or listing a new product without agreement</c:v>
                      </c:pt>
                      <c:pt idx="4">
                        <c:v>Required payment as a condition of continuing to stock or list an existing product (other than promotion funding)</c:v>
                      </c:pt>
                      <c:pt idx="5">
                        <c:v>Required payment for better positioning or increased shelf space without agreement</c:v>
                      </c:pt>
                      <c:pt idx="6">
                        <c:v>Required payment towards retailer/wholesaler business activities without agreement</c:v>
                      </c:pt>
                      <c:pt idx="7">
                        <c:v>Cancellation of promotion order or reduction of promotion order by &gt;10% (&gt;20% for MF&amp;G (Metcash)) without agreement</c:v>
                      </c:pt>
                      <c:pt idx="8">
                        <c:v>Retailer/wholesaler overordering at a promotional cost and selling at full price</c:v>
                      </c:pt>
                      <c:pt idx="9">
                        <c:v>Required to fund promotions despite it being unreasonable in the circumstances</c:v>
                      </c:pt>
                      <c:pt idx="10">
                        <c:v>Delisting without reasonable notice</c:v>
                      </c:pt>
                      <c:pt idx="11">
                        <c:v>Delisting without genuine commercial reason</c:v>
                      </c:pt>
                      <c:pt idx="12">
                        <c:v>Delisting as a result of a complaint or dispute raised</c:v>
                      </c:pt>
                      <c:pt idx="13">
                        <c:v>Significantly reducing distribution across stores or distribution centres without reasonable notice and genuine commercial reason</c:v>
                      </c:pt>
                      <c:pt idx="14">
                        <c:v>Material changes to supply chain procedures without notice or compensation</c:v>
                      </c:pt>
                      <c:pt idx="15">
                        <c:v>Infringing branding, packaging designs or advertising intellectual property when developing or producing private label products</c:v>
                      </c:pt>
                      <c:pt idx="16">
                        <c:v>Using confidential information for a purpose other that the purpose for which it was disclosed</c:v>
                      </c:pt>
                      <c:pt idx="17">
                        <c:v>Range decisions not in accordance with retailer/wholesaler's ranging principles</c:v>
                      </c:pt>
                      <c:pt idx="18">
                        <c:v>Retrospective variation of agreements</c:v>
                      </c:pt>
                      <c:pt idx="19">
                        <c:v>Other (please specify)</c:v>
                      </c:pt>
                    </c:strCache>
                  </c:strRef>
                </c:cat>
                <c:val>
                  <c:numRef>
                    <c:extLst xmlns:c15="http://schemas.microsoft.com/office/drawing/2012/chart">
                      <c:ext xmlns:c15="http://schemas.microsoft.com/office/drawing/2012/chart" uri="{02D57815-91ED-43cb-92C2-25804820EDAC}">
                        <c15:formulaRef>
                          <c15:sqref>'Q10 issues experienced'!$H$3:$H$22</c15:sqref>
                        </c15:formulaRef>
                      </c:ext>
                    </c:extLst>
                    <c:numCache>
                      <c:formatCode>General</c:formatCode>
                      <c:ptCount val="20"/>
                      <c:pt idx="0">
                        <c:v>18</c:v>
                      </c:pt>
                      <c:pt idx="1">
                        <c:v>8</c:v>
                      </c:pt>
                      <c:pt idx="2">
                        <c:v>0</c:v>
                      </c:pt>
                      <c:pt idx="3">
                        <c:v>0</c:v>
                      </c:pt>
                      <c:pt idx="4">
                        <c:v>0</c:v>
                      </c:pt>
                      <c:pt idx="5">
                        <c:v>0</c:v>
                      </c:pt>
                      <c:pt idx="6">
                        <c:v>0</c:v>
                      </c:pt>
                      <c:pt idx="7">
                        <c:v>0</c:v>
                      </c:pt>
                      <c:pt idx="8">
                        <c:v>3</c:v>
                      </c:pt>
                      <c:pt idx="9">
                        <c:v>2</c:v>
                      </c:pt>
                      <c:pt idx="10">
                        <c:v>1</c:v>
                      </c:pt>
                      <c:pt idx="11">
                        <c:v>1</c:v>
                      </c:pt>
                      <c:pt idx="12">
                        <c:v>1</c:v>
                      </c:pt>
                      <c:pt idx="13">
                        <c:v>3</c:v>
                      </c:pt>
                      <c:pt idx="14">
                        <c:v>0</c:v>
                      </c:pt>
                      <c:pt idx="15">
                        <c:v>1</c:v>
                      </c:pt>
                      <c:pt idx="16">
                        <c:v>1</c:v>
                      </c:pt>
                      <c:pt idx="17">
                        <c:v>0</c:v>
                      </c:pt>
                      <c:pt idx="18">
                        <c:v>1</c:v>
                      </c:pt>
                      <c:pt idx="19">
                        <c:v>8</c:v>
                      </c:pt>
                    </c:numCache>
                  </c:numRef>
                </c:val>
                <c:extLst xmlns:c15="http://schemas.microsoft.com/office/drawing/2012/chart">
                  <c:ext xmlns:c16="http://schemas.microsoft.com/office/drawing/2014/chart" uri="{C3380CC4-5D6E-409C-BE32-E72D297353CC}">
                    <c16:uniqueId val="{00000007-2737-49B4-B8BB-0CD611F28EC6}"/>
                  </c:ext>
                </c:extLst>
              </c15:ser>
            </c15:filteredBarSeries>
          </c:ext>
        </c:extLst>
      </c:barChart>
      <c:catAx>
        <c:axId val="4291279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131711"/>
        <c:crosses val="autoZero"/>
        <c:auto val="1"/>
        <c:lblAlgn val="ctr"/>
        <c:lblOffset val="100"/>
        <c:noMultiLvlLbl val="0"/>
      </c:catAx>
      <c:valAx>
        <c:axId val="4291317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127967"/>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'Q10 compared to 2021'!$A$47</c:f>
              <c:strCache>
                <c:ptCount val="1"/>
                <c:pt idx="0">
                  <c:v>Payment later than agreed payment terms</c:v>
                </c:pt>
              </c:strCache>
            </c:strRef>
          </c:tx>
          <c:spPr>
            <a:ln w="28575" cap="rnd">
              <a:solidFill>
                <a:schemeClr val="accent1"/>
              </a:solidFill>
              <a:round/>
            </a:ln>
            <a:effectLst/>
          </c:spPr>
          <c:marker>
            <c:symbol val="none"/>
          </c:marker>
          <c:cat>
            <c:numRef>
              <c:f>'Q10 compared to 2021'!$B$46:$C$46</c:f>
              <c:numCache>
                <c:formatCode>General</c:formatCode>
                <c:ptCount val="2"/>
                <c:pt idx="0">
                  <c:v>2021</c:v>
                </c:pt>
                <c:pt idx="1">
                  <c:v>2022</c:v>
                </c:pt>
              </c:numCache>
            </c:numRef>
          </c:cat>
          <c:val>
            <c:numRef>
              <c:f>'Q10 compared to 2021'!$B$47:$C$47</c:f>
              <c:numCache>
                <c:formatCode>0%</c:formatCode>
                <c:ptCount val="2"/>
                <c:pt idx="0">
                  <c:v>0.10073937153419593</c:v>
                </c:pt>
                <c:pt idx="1">
                  <c:v>6.6066066066066062E-2</c:v>
                </c:pt>
              </c:numCache>
            </c:numRef>
          </c:val>
          <c:smooth val="0"/>
          <c:extLst>
            <c:ext xmlns:c16="http://schemas.microsoft.com/office/drawing/2014/chart" uri="{C3380CC4-5D6E-409C-BE32-E72D297353CC}">
              <c16:uniqueId val="{00000000-D391-4BB5-8DBA-91029D942B25}"/>
            </c:ext>
          </c:extLst>
        </c:ser>
        <c:ser>
          <c:idx val="1"/>
          <c:order val="1"/>
          <c:tx>
            <c:strRef>
              <c:f>'Q10 compared to 2021'!$A$48</c:f>
              <c:strCache>
                <c:ptCount val="1"/>
                <c:pt idx="0">
                  <c:v>Deductions off invoice/remittance without consent</c:v>
                </c:pt>
              </c:strCache>
            </c:strRef>
          </c:tx>
          <c:spPr>
            <a:ln w="28575" cap="rnd">
              <a:solidFill>
                <a:schemeClr val="accent2"/>
              </a:solidFill>
              <a:round/>
            </a:ln>
            <a:effectLst/>
          </c:spPr>
          <c:marker>
            <c:symbol val="none"/>
          </c:marker>
          <c:cat>
            <c:numRef>
              <c:f>'Q10 compared to 2021'!$B$46:$C$46</c:f>
              <c:numCache>
                <c:formatCode>General</c:formatCode>
                <c:ptCount val="2"/>
                <c:pt idx="0">
                  <c:v>2021</c:v>
                </c:pt>
                <c:pt idx="1">
                  <c:v>2022</c:v>
                </c:pt>
              </c:numCache>
            </c:numRef>
          </c:cat>
          <c:val>
            <c:numRef>
              <c:f>'Q10 compared to 2021'!$B$48:$C$48</c:f>
              <c:numCache>
                <c:formatCode>0%</c:formatCode>
                <c:ptCount val="2"/>
                <c:pt idx="0">
                  <c:v>9.8890942698706102E-2</c:v>
                </c:pt>
                <c:pt idx="1">
                  <c:v>4.9049049049049047E-2</c:v>
                </c:pt>
              </c:numCache>
            </c:numRef>
          </c:val>
          <c:smooth val="0"/>
          <c:extLst>
            <c:ext xmlns:c16="http://schemas.microsoft.com/office/drawing/2014/chart" uri="{C3380CC4-5D6E-409C-BE32-E72D297353CC}">
              <c16:uniqueId val="{00000001-D391-4BB5-8DBA-91029D942B25}"/>
            </c:ext>
          </c:extLst>
        </c:ser>
        <c:ser>
          <c:idx val="2"/>
          <c:order val="2"/>
          <c:tx>
            <c:strRef>
              <c:f>'Q10 compared to 2021'!$A$49</c:f>
              <c:strCache>
                <c:ptCount val="1"/>
                <c:pt idx="0">
                  <c:v>Cancellation of promotion order or reduction of promotion order by &gt;10% (&gt;20% for MF&amp;G (Metcash)) without agreement*</c:v>
                </c:pt>
              </c:strCache>
            </c:strRef>
          </c:tx>
          <c:spPr>
            <a:ln w="28575" cap="rnd">
              <a:solidFill>
                <a:schemeClr val="accent3"/>
              </a:solidFill>
              <a:round/>
            </a:ln>
            <a:effectLst/>
          </c:spPr>
          <c:marker>
            <c:symbol val="none"/>
          </c:marker>
          <c:cat>
            <c:numRef>
              <c:f>'Q10 compared to 2021'!$B$46:$C$46</c:f>
              <c:numCache>
                <c:formatCode>General</c:formatCode>
                <c:ptCount val="2"/>
                <c:pt idx="0">
                  <c:v>2021</c:v>
                </c:pt>
                <c:pt idx="1">
                  <c:v>2022</c:v>
                </c:pt>
              </c:numCache>
            </c:numRef>
          </c:cat>
          <c:val>
            <c:numRef>
              <c:f>'Q10 compared to 2021'!$B$49:$C$49</c:f>
              <c:numCache>
                <c:formatCode>0%</c:formatCode>
                <c:ptCount val="2"/>
                <c:pt idx="0">
                  <c:v>8.7800369685767099E-2</c:v>
                </c:pt>
                <c:pt idx="1">
                  <c:v>1.4014014014014014E-2</c:v>
                </c:pt>
              </c:numCache>
            </c:numRef>
          </c:val>
          <c:smooth val="0"/>
          <c:extLst>
            <c:ext xmlns:c16="http://schemas.microsoft.com/office/drawing/2014/chart" uri="{C3380CC4-5D6E-409C-BE32-E72D297353CC}">
              <c16:uniqueId val="{00000002-D391-4BB5-8DBA-91029D942B25}"/>
            </c:ext>
          </c:extLst>
        </c:ser>
        <c:ser>
          <c:idx val="3"/>
          <c:order val="3"/>
          <c:tx>
            <c:strRef>
              <c:f>'Q10 compared to 2021'!$A$50</c:f>
              <c:strCache>
                <c:ptCount val="1"/>
                <c:pt idx="0">
                  <c:v>Delisting without reasonable notice</c:v>
                </c:pt>
              </c:strCache>
            </c:strRef>
          </c:tx>
          <c:spPr>
            <a:ln w="28575" cap="rnd">
              <a:solidFill>
                <a:schemeClr val="accent4"/>
              </a:solidFill>
              <a:round/>
            </a:ln>
            <a:effectLst/>
          </c:spPr>
          <c:marker>
            <c:symbol val="none"/>
          </c:marker>
          <c:cat>
            <c:numRef>
              <c:f>'Q10 compared to 2021'!$B$46:$C$46</c:f>
              <c:numCache>
                <c:formatCode>General</c:formatCode>
                <c:ptCount val="2"/>
                <c:pt idx="0">
                  <c:v>2021</c:v>
                </c:pt>
                <c:pt idx="1">
                  <c:v>2022</c:v>
                </c:pt>
              </c:numCache>
            </c:numRef>
          </c:cat>
          <c:val>
            <c:numRef>
              <c:f>'Q10 compared to 2021'!$B$50:$C$50</c:f>
              <c:numCache>
                <c:formatCode>0%</c:formatCode>
                <c:ptCount val="2"/>
                <c:pt idx="0">
                  <c:v>4.5286506469500921E-2</c:v>
                </c:pt>
                <c:pt idx="1">
                  <c:v>2.2022022022022022E-2</c:v>
                </c:pt>
              </c:numCache>
            </c:numRef>
          </c:val>
          <c:smooth val="0"/>
          <c:extLst>
            <c:ext xmlns:c16="http://schemas.microsoft.com/office/drawing/2014/chart" uri="{C3380CC4-5D6E-409C-BE32-E72D297353CC}">
              <c16:uniqueId val="{00000003-D391-4BB5-8DBA-91029D942B25}"/>
            </c:ext>
          </c:extLst>
        </c:ser>
        <c:ser>
          <c:idx val="4"/>
          <c:order val="4"/>
          <c:tx>
            <c:strRef>
              <c:f>'Q10 compared to 2021'!$A$51</c:f>
              <c:strCache>
                <c:ptCount val="1"/>
                <c:pt idx="0">
                  <c:v>Delisting without genuine commercial reason</c:v>
                </c:pt>
              </c:strCache>
            </c:strRef>
          </c:tx>
          <c:spPr>
            <a:ln w="28575" cap="rnd">
              <a:solidFill>
                <a:schemeClr val="accent5"/>
              </a:solidFill>
              <a:round/>
            </a:ln>
            <a:effectLst/>
          </c:spPr>
          <c:marker>
            <c:symbol val="none"/>
          </c:marker>
          <c:cat>
            <c:numRef>
              <c:f>'Q10 compared to 2021'!$B$46:$C$46</c:f>
              <c:numCache>
                <c:formatCode>General</c:formatCode>
                <c:ptCount val="2"/>
                <c:pt idx="0">
                  <c:v>2021</c:v>
                </c:pt>
                <c:pt idx="1">
                  <c:v>2022</c:v>
                </c:pt>
              </c:numCache>
            </c:numRef>
          </c:cat>
          <c:val>
            <c:numRef>
              <c:f>'Q10 compared to 2021'!$B$51:$C$51</c:f>
              <c:numCache>
                <c:formatCode>0%</c:formatCode>
                <c:ptCount val="2"/>
                <c:pt idx="0">
                  <c:v>5.1756007393715345E-2</c:v>
                </c:pt>
                <c:pt idx="1">
                  <c:v>1.9019019019019021E-2</c:v>
                </c:pt>
              </c:numCache>
            </c:numRef>
          </c:val>
          <c:smooth val="0"/>
          <c:extLst>
            <c:ext xmlns:c16="http://schemas.microsoft.com/office/drawing/2014/chart" uri="{C3380CC4-5D6E-409C-BE32-E72D297353CC}">
              <c16:uniqueId val="{00000004-D391-4BB5-8DBA-91029D942B25}"/>
            </c:ext>
          </c:extLst>
        </c:ser>
        <c:ser>
          <c:idx val="5"/>
          <c:order val="5"/>
          <c:tx>
            <c:strRef>
              <c:f>'Q10 compared to 2021'!$A$52</c:f>
              <c:strCache>
                <c:ptCount val="1"/>
                <c:pt idx="0">
                  <c:v>Significantly reducing distribution across stores or distribution centres without reasonable notice and genuine commercial reason*</c:v>
                </c:pt>
              </c:strCache>
            </c:strRef>
          </c:tx>
          <c:spPr>
            <a:ln w="28575" cap="rnd">
              <a:solidFill>
                <a:schemeClr val="accent6"/>
              </a:solidFill>
              <a:round/>
            </a:ln>
            <a:effectLst/>
          </c:spPr>
          <c:marker>
            <c:symbol val="none"/>
          </c:marker>
          <c:cat>
            <c:numRef>
              <c:f>'Q10 compared to 2021'!$B$46:$C$46</c:f>
              <c:numCache>
                <c:formatCode>General</c:formatCode>
                <c:ptCount val="2"/>
                <c:pt idx="0">
                  <c:v>2021</c:v>
                </c:pt>
                <c:pt idx="1">
                  <c:v>2022</c:v>
                </c:pt>
              </c:numCache>
            </c:numRef>
          </c:cat>
          <c:val>
            <c:numRef>
              <c:f>'Q10 compared to 2021'!$B$52:$C$52</c:f>
              <c:numCache>
                <c:formatCode>0%</c:formatCode>
                <c:ptCount val="2"/>
                <c:pt idx="0">
                  <c:v>4.1589648798521256E-2</c:v>
                </c:pt>
                <c:pt idx="1">
                  <c:v>3.3033033033033031E-2</c:v>
                </c:pt>
              </c:numCache>
            </c:numRef>
          </c:val>
          <c:smooth val="0"/>
          <c:extLst>
            <c:ext xmlns:c16="http://schemas.microsoft.com/office/drawing/2014/chart" uri="{C3380CC4-5D6E-409C-BE32-E72D297353CC}">
              <c16:uniqueId val="{00000005-D391-4BB5-8DBA-91029D942B25}"/>
            </c:ext>
          </c:extLst>
        </c:ser>
        <c:dLbls>
          <c:showLegendKey val="0"/>
          <c:showVal val="0"/>
          <c:showCatName val="0"/>
          <c:showSerName val="0"/>
          <c:showPercent val="0"/>
          <c:showBubbleSize val="0"/>
        </c:dLbls>
        <c:smooth val="0"/>
        <c:axId val="436807967"/>
        <c:axId val="436808799"/>
      </c:lineChart>
      <c:catAx>
        <c:axId val="4368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08799"/>
        <c:crosses val="autoZero"/>
        <c:auto val="1"/>
        <c:lblAlgn val="ctr"/>
        <c:lblOffset val="100"/>
        <c:noMultiLvlLbl val="0"/>
      </c:catAx>
      <c:valAx>
        <c:axId val="4368087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07967"/>
        <c:crosses val="autoZero"/>
        <c:crossBetween val="between"/>
      </c:valAx>
      <c:spPr>
        <a:noFill/>
        <a:ln>
          <a:noFill/>
        </a:ln>
        <a:effectLst/>
      </c:spPr>
    </c:plotArea>
    <c:legend>
      <c:legendPos val="b"/>
      <c:layout>
        <c:manualLayout>
          <c:xMode val="edge"/>
          <c:yMode val="edge"/>
          <c:x val="5.7809073169798088E-2"/>
          <c:y val="0.61600407862686224"/>
          <c:w val="0.88659155424597447"/>
          <c:h val="0.350422779886327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tx>
            <c:strRef>
              <c:f>'Q18 raising issues'!$C$1</c:f>
              <c:strCache>
                <c:ptCount val="1"/>
                <c:pt idx="0">
                  <c:v>Woolworths</c:v>
                </c:pt>
              </c:strCache>
            </c:strRef>
          </c:tx>
          <c:spPr>
            <a:solidFill>
              <a:schemeClr val="accent2"/>
            </a:solidFill>
            <a:ln>
              <a:noFill/>
            </a:ln>
            <a:effectLst/>
          </c:spPr>
          <c:invertIfNegative val="0"/>
          <c:cat>
            <c:strRef>
              <c:f>'Q18 raising issues'!$A$2:$A$8</c:f>
              <c:strCache>
                <c:ptCount val="7"/>
                <c:pt idx="0">
                  <c:v>Don't consider there are impediments</c:v>
                </c:pt>
                <c:pt idx="1">
                  <c:v>Don't believe the buying team will resolve the issue</c:v>
                </c:pt>
                <c:pt idx="2">
                  <c:v>Don't consider the issue is serious enough to escalate to the buying team</c:v>
                </c:pt>
                <c:pt idx="3">
                  <c:v> Don't have time to undertake the process</c:v>
                </c:pt>
                <c:pt idx="4">
                  <c:v>Fear of damaging a commercial relationship</c:v>
                </c:pt>
                <c:pt idx="5">
                  <c:v>Fear of retribution</c:v>
                </c:pt>
                <c:pt idx="6">
                  <c:v>Other</c:v>
                </c:pt>
              </c:strCache>
            </c:strRef>
          </c:cat>
          <c:val>
            <c:numRef>
              <c:f>'Q18 raising issues'!$C$2:$C$8</c:f>
              <c:numCache>
                <c:formatCode>0%</c:formatCode>
                <c:ptCount val="7"/>
                <c:pt idx="0">
                  <c:v>0.449438202247191</c:v>
                </c:pt>
                <c:pt idx="1">
                  <c:v>6.741573033707865E-2</c:v>
                </c:pt>
                <c:pt idx="2">
                  <c:v>6.741573033707865E-2</c:v>
                </c:pt>
                <c:pt idx="3">
                  <c:v>6.3670411985018729E-2</c:v>
                </c:pt>
                <c:pt idx="4">
                  <c:v>0.42322097378277151</c:v>
                </c:pt>
                <c:pt idx="5">
                  <c:v>0.22846441947565543</c:v>
                </c:pt>
                <c:pt idx="6">
                  <c:v>1.8726591760299626E-2</c:v>
                </c:pt>
              </c:numCache>
            </c:numRef>
          </c:val>
          <c:extLst>
            <c:ext xmlns:c16="http://schemas.microsoft.com/office/drawing/2014/chart" uri="{C3380CC4-5D6E-409C-BE32-E72D297353CC}">
              <c16:uniqueId val="{00000000-964F-455F-8B78-68B2AE914C16}"/>
            </c:ext>
          </c:extLst>
        </c:ser>
        <c:ser>
          <c:idx val="3"/>
          <c:order val="3"/>
          <c:tx>
            <c:strRef>
              <c:f>'Q18 raising issues'!$E$1</c:f>
              <c:strCache>
                <c:ptCount val="1"/>
                <c:pt idx="0">
                  <c:v>Coles</c:v>
                </c:pt>
              </c:strCache>
            </c:strRef>
          </c:tx>
          <c:spPr>
            <a:solidFill>
              <a:schemeClr val="accent4"/>
            </a:solidFill>
            <a:ln>
              <a:noFill/>
            </a:ln>
            <a:effectLst/>
          </c:spPr>
          <c:invertIfNegative val="0"/>
          <c:cat>
            <c:strRef>
              <c:f>'Q18 raising issues'!$A$2:$A$8</c:f>
              <c:strCache>
                <c:ptCount val="7"/>
                <c:pt idx="0">
                  <c:v>Don't consider there are impediments</c:v>
                </c:pt>
                <c:pt idx="1">
                  <c:v>Don't believe the buying team will resolve the issue</c:v>
                </c:pt>
                <c:pt idx="2">
                  <c:v>Don't consider the issue is serious enough to escalate to the buying team</c:v>
                </c:pt>
                <c:pt idx="3">
                  <c:v> Don't have time to undertake the process</c:v>
                </c:pt>
                <c:pt idx="4">
                  <c:v>Fear of damaging a commercial relationship</c:v>
                </c:pt>
                <c:pt idx="5">
                  <c:v>Fear of retribution</c:v>
                </c:pt>
                <c:pt idx="6">
                  <c:v>Other</c:v>
                </c:pt>
              </c:strCache>
            </c:strRef>
          </c:cat>
          <c:val>
            <c:numRef>
              <c:f>'Q18 raising issues'!$E$2:$E$8</c:f>
              <c:numCache>
                <c:formatCode>0%</c:formatCode>
                <c:ptCount val="7"/>
                <c:pt idx="0">
                  <c:v>0.4489051094890511</c:v>
                </c:pt>
                <c:pt idx="1">
                  <c:v>6.2043795620437957E-2</c:v>
                </c:pt>
                <c:pt idx="2">
                  <c:v>6.569343065693431E-2</c:v>
                </c:pt>
                <c:pt idx="3">
                  <c:v>4.7445255474452552E-2</c:v>
                </c:pt>
                <c:pt idx="4">
                  <c:v>0.36131386861313869</c:v>
                </c:pt>
                <c:pt idx="5">
                  <c:v>0.18248175182481752</c:v>
                </c:pt>
                <c:pt idx="6">
                  <c:v>1.824817518248175E-2</c:v>
                </c:pt>
              </c:numCache>
            </c:numRef>
          </c:val>
          <c:extLst>
            <c:ext xmlns:c16="http://schemas.microsoft.com/office/drawing/2014/chart" uri="{C3380CC4-5D6E-409C-BE32-E72D297353CC}">
              <c16:uniqueId val="{00000001-964F-455F-8B78-68B2AE914C16}"/>
            </c:ext>
          </c:extLst>
        </c:ser>
        <c:ser>
          <c:idx val="5"/>
          <c:order val="5"/>
          <c:tx>
            <c:strRef>
              <c:f>'Q18 raising issues'!$G$1</c:f>
              <c:strCache>
                <c:ptCount val="1"/>
                <c:pt idx="0">
                  <c:v>Metcash</c:v>
                </c:pt>
              </c:strCache>
            </c:strRef>
          </c:tx>
          <c:spPr>
            <a:solidFill>
              <a:schemeClr val="accent6"/>
            </a:solidFill>
            <a:ln>
              <a:noFill/>
            </a:ln>
            <a:effectLst/>
          </c:spPr>
          <c:invertIfNegative val="0"/>
          <c:cat>
            <c:strRef>
              <c:f>'Q18 raising issues'!$A$2:$A$8</c:f>
              <c:strCache>
                <c:ptCount val="7"/>
                <c:pt idx="0">
                  <c:v>Don't consider there are impediments</c:v>
                </c:pt>
                <c:pt idx="1">
                  <c:v>Don't believe the buying team will resolve the issue</c:v>
                </c:pt>
                <c:pt idx="2">
                  <c:v>Don't consider the issue is serious enough to escalate to the buying team</c:v>
                </c:pt>
                <c:pt idx="3">
                  <c:v> Don't have time to undertake the process</c:v>
                </c:pt>
                <c:pt idx="4">
                  <c:v>Fear of damaging a commercial relationship</c:v>
                </c:pt>
                <c:pt idx="5">
                  <c:v>Fear of retribution</c:v>
                </c:pt>
                <c:pt idx="6">
                  <c:v>Other</c:v>
                </c:pt>
              </c:strCache>
            </c:strRef>
          </c:cat>
          <c:val>
            <c:numRef>
              <c:f>'Q18 raising issues'!$G$2:$G$8</c:f>
              <c:numCache>
                <c:formatCode>0%</c:formatCode>
                <c:ptCount val="7"/>
                <c:pt idx="0">
                  <c:v>0.57676348547717837</c:v>
                </c:pt>
                <c:pt idx="1">
                  <c:v>4.1493775933609957E-2</c:v>
                </c:pt>
                <c:pt idx="2">
                  <c:v>4.1493775933609957E-2</c:v>
                </c:pt>
                <c:pt idx="3">
                  <c:v>4.5643153526970952E-2</c:v>
                </c:pt>
                <c:pt idx="4">
                  <c:v>0.23236514522821577</c:v>
                </c:pt>
                <c:pt idx="5">
                  <c:v>0.11203319502074689</c:v>
                </c:pt>
                <c:pt idx="6">
                  <c:v>0</c:v>
                </c:pt>
              </c:numCache>
            </c:numRef>
          </c:val>
          <c:extLst>
            <c:ext xmlns:c16="http://schemas.microsoft.com/office/drawing/2014/chart" uri="{C3380CC4-5D6E-409C-BE32-E72D297353CC}">
              <c16:uniqueId val="{00000002-964F-455F-8B78-68B2AE914C16}"/>
            </c:ext>
          </c:extLst>
        </c:ser>
        <c:ser>
          <c:idx val="7"/>
          <c:order val="7"/>
          <c:tx>
            <c:strRef>
              <c:f>'Q18 raising issues'!$I$1</c:f>
              <c:strCache>
                <c:ptCount val="1"/>
                <c:pt idx="0">
                  <c:v>Aldi</c:v>
                </c:pt>
              </c:strCache>
            </c:strRef>
          </c:tx>
          <c:spPr>
            <a:solidFill>
              <a:schemeClr val="accent2">
                <a:lumMod val="60000"/>
              </a:schemeClr>
            </a:solidFill>
            <a:ln>
              <a:noFill/>
            </a:ln>
            <a:effectLst/>
          </c:spPr>
          <c:invertIfNegative val="0"/>
          <c:cat>
            <c:strRef>
              <c:f>'Q18 raising issues'!$A$2:$A$8</c:f>
              <c:strCache>
                <c:ptCount val="7"/>
                <c:pt idx="0">
                  <c:v>Don't consider there are impediments</c:v>
                </c:pt>
                <c:pt idx="1">
                  <c:v>Don't believe the buying team will resolve the issue</c:v>
                </c:pt>
                <c:pt idx="2">
                  <c:v>Don't consider the issue is serious enough to escalate to the buying team</c:v>
                </c:pt>
                <c:pt idx="3">
                  <c:v> Don't have time to undertake the process</c:v>
                </c:pt>
                <c:pt idx="4">
                  <c:v>Fear of damaging a commercial relationship</c:v>
                </c:pt>
                <c:pt idx="5">
                  <c:v>Fear of retribution</c:v>
                </c:pt>
                <c:pt idx="6">
                  <c:v>Other</c:v>
                </c:pt>
              </c:strCache>
            </c:strRef>
          </c:cat>
          <c:val>
            <c:numRef>
              <c:f>'Q18 raising issues'!$I$2:$I$8</c:f>
              <c:numCache>
                <c:formatCode>0%</c:formatCode>
                <c:ptCount val="7"/>
                <c:pt idx="0">
                  <c:v>0.56221198156682028</c:v>
                </c:pt>
                <c:pt idx="1">
                  <c:v>1.8433179723502304E-2</c:v>
                </c:pt>
                <c:pt idx="2">
                  <c:v>5.0691244239631339E-2</c:v>
                </c:pt>
                <c:pt idx="3">
                  <c:v>3.6866359447004608E-2</c:v>
                </c:pt>
                <c:pt idx="4">
                  <c:v>0.22119815668202766</c:v>
                </c:pt>
                <c:pt idx="5">
                  <c:v>8.755760368663594E-2</c:v>
                </c:pt>
                <c:pt idx="6">
                  <c:v>9.2165898617511521E-3</c:v>
                </c:pt>
              </c:numCache>
            </c:numRef>
          </c:val>
          <c:extLst>
            <c:ext xmlns:c16="http://schemas.microsoft.com/office/drawing/2014/chart" uri="{C3380CC4-5D6E-409C-BE32-E72D297353CC}">
              <c16:uniqueId val="{00000003-964F-455F-8B78-68B2AE914C16}"/>
            </c:ext>
          </c:extLst>
        </c:ser>
        <c:dLbls>
          <c:showLegendKey val="0"/>
          <c:showVal val="0"/>
          <c:showCatName val="0"/>
          <c:showSerName val="0"/>
          <c:showPercent val="0"/>
          <c:showBubbleSize val="0"/>
        </c:dLbls>
        <c:gapWidth val="182"/>
        <c:axId val="1615629711"/>
        <c:axId val="1615632207"/>
        <c:extLst>
          <c:ext xmlns:c15="http://schemas.microsoft.com/office/drawing/2012/chart" uri="{02D57815-91ED-43cb-92C2-25804820EDAC}">
            <c15:filteredBarSeries>
              <c15:ser>
                <c:idx val="0"/>
                <c:order val="0"/>
                <c:tx>
                  <c:strRef>
                    <c:extLst>
                      <c:ext uri="{02D57815-91ED-43cb-92C2-25804820EDAC}">
                        <c15:formulaRef>
                          <c15:sqref>'Q18 raising issues'!$B$1</c15:sqref>
                        </c15:formulaRef>
                      </c:ext>
                    </c:extLst>
                    <c:strCache>
                      <c:ptCount val="1"/>
                      <c:pt idx="0">
                        <c:v>Woolworths</c:v>
                      </c:pt>
                    </c:strCache>
                  </c:strRef>
                </c:tx>
                <c:spPr>
                  <a:solidFill>
                    <a:schemeClr val="accent1"/>
                  </a:solidFill>
                  <a:ln>
                    <a:noFill/>
                  </a:ln>
                  <a:effectLst/>
                </c:spPr>
                <c:invertIfNegative val="0"/>
                <c:cat>
                  <c:strRef>
                    <c:extLst>
                      <c:ext uri="{02D57815-91ED-43cb-92C2-25804820EDAC}">
                        <c15:formulaRef>
                          <c15:sqref>'Q18 raising issues'!$A$2:$A$8</c15:sqref>
                        </c15:formulaRef>
                      </c:ext>
                    </c:extLst>
                    <c:strCache>
                      <c:ptCount val="7"/>
                      <c:pt idx="0">
                        <c:v>Don't consider there are impediments</c:v>
                      </c:pt>
                      <c:pt idx="1">
                        <c:v>Don't believe the buying team will resolve the issue</c:v>
                      </c:pt>
                      <c:pt idx="2">
                        <c:v>Don't consider the issue is serious enough to escalate to the buying team</c:v>
                      </c:pt>
                      <c:pt idx="3">
                        <c:v> Don't have time to undertake the process</c:v>
                      </c:pt>
                      <c:pt idx="4">
                        <c:v>Fear of damaging a commercial relationship</c:v>
                      </c:pt>
                      <c:pt idx="5">
                        <c:v>Fear of retribution</c:v>
                      </c:pt>
                      <c:pt idx="6">
                        <c:v>Other</c:v>
                      </c:pt>
                    </c:strCache>
                  </c:strRef>
                </c:cat>
                <c:val>
                  <c:numRef>
                    <c:extLst>
                      <c:ext uri="{02D57815-91ED-43cb-92C2-25804820EDAC}">
                        <c15:formulaRef>
                          <c15:sqref>'Q18 raising issues'!#REF!</c15:sqref>
                        </c15:formulaRef>
                      </c:ext>
                    </c:extLst>
                    <c:numCache>
                      <c:formatCode>General</c:formatCode>
                      <c:ptCount val="1"/>
                      <c:pt idx="0">
                        <c:v>1</c:v>
                      </c:pt>
                    </c:numCache>
                  </c:numRef>
                </c:val>
                <c:extLst>
                  <c:ext xmlns:c16="http://schemas.microsoft.com/office/drawing/2014/chart" uri="{C3380CC4-5D6E-409C-BE32-E72D297353CC}">
                    <c16:uniqueId val="{00000004-964F-455F-8B78-68B2AE914C1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'Q18 raising issues'!$D$1</c15:sqref>
                        </c15:formulaRef>
                      </c:ext>
                    </c:extLst>
                    <c:strCache>
                      <c:ptCount val="1"/>
                      <c:pt idx="0">
                        <c:v>Coles</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'Q18 raising issues'!$A$2:$A$8</c15:sqref>
                        </c15:formulaRef>
                      </c:ext>
                    </c:extLst>
                    <c:strCache>
                      <c:ptCount val="7"/>
                      <c:pt idx="0">
                        <c:v>Don't consider there are impediments</c:v>
                      </c:pt>
                      <c:pt idx="1">
                        <c:v>Don't believe the buying team will resolve the issue</c:v>
                      </c:pt>
                      <c:pt idx="2">
                        <c:v>Don't consider the issue is serious enough to escalate to the buying team</c:v>
                      </c:pt>
                      <c:pt idx="3">
                        <c:v> Don't have time to undertake the process</c:v>
                      </c:pt>
                      <c:pt idx="4">
                        <c:v>Fear of damaging a commercial relationship</c:v>
                      </c:pt>
                      <c:pt idx="5">
                        <c:v>Fear of retribution</c:v>
                      </c:pt>
                      <c:pt idx="6">
                        <c:v>Other</c:v>
                      </c:pt>
                    </c:strCache>
                  </c:strRef>
                </c:cat>
                <c:val>
                  <c:numRef>
                    <c:extLst xmlns:c15="http://schemas.microsoft.com/office/drawing/2012/chart">
                      <c:ext xmlns:c15="http://schemas.microsoft.com/office/drawing/2012/chart" uri="{02D57815-91ED-43cb-92C2-25804820EDAC}">
                        <c15:formulaRef>
                          <c15:sqref>'Q18 raising issues'!#REF!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5-964F-455F-8B78-68B2AE914C1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'Q18 raising issues'!$F$1</c15:sqref>
                        </c15:formulaRef>
                      </c:ext>
                    </c:extLst>
                    <c:strCache>
                      <c:ptCount val="1"/>
                      <c:pt idx="0">
                        <c:v>Metcash</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'Q18 raising issues'!$A$2:$A$8</c15:sqref>
                        </c15:formulaRef>
                      </c:ext>
                    </c:extLst>
                    <c:strCache>
                      <c:ptCount val="7"/>
                      <c:pt idx="0">
                        <c:v>Don't consider there are impediments</c:v>
                      </c:pt>
                      <c:pt idx="1">
                        <c:v>Don't believe the buying team will resolve the issue</c:v>
                      </c:pt>
                      <c:pt idx="2">
                        <c:v>Don't consider the issue is serious enough to escalate to the buying team</c:v>
                      </c:pt>
                      <c:pt idx="3">
                        <c:v> Don't have time to undertake the process</c:v>
                      </c:pt>
                      <c:pt idx="4">
                        <c:v>Fear of damaging a commercial relationship</c:v>
                      </c:pt>
                      <c:pt idx="5">
                        <c:v>Fear of retribution</c:v>
                      </c:pt>
                      <c:pt idx="6">
                        <c:v>Other</c:v>
                      </c:pt>
                    </c:strCache>
                  </c:strRef>
                </c:cat>
                <c:val>
                  <c:numRef>
                    <c:extLst xmlns:c15="http://schemas.microsoft.com/office/drawing/2012/chart">
                      <c:ext xmlns:c15="http://schemas.microsoft.com/office/drawing/2012/chart" uri="{02D57815-91ED-43cb-92C2-25804820EDAC}">
                        <c15:formulaRef>
                          <c15:sqref>'Q18 raising issues'!#REF!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6-964F-455F-8B78-68B2AE914C1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'Q18 raising issues'!$H$1</c15:sqref>
                        </c15:formulaRef>
                      </c:ext>
                    </c:extLst>
                    <c:strCache>
                      <c:ptCount val="1"/>
                      <c:pt idx="0">
                        <c:v>Aldi</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'Q18 raising issues'!$A$2:$A$8</c15:sqref>
                        </c15:formulaRef>
                      </c:ext>
                    </c:extLst>
                    <c:strCache>
                      <c:ptCount val="7"/>
                      <c:pt idx="0">
                        <c:v>Don't consider there are impediments</c:v>
                      </c:pt>
                      <c:pt idx="1">
                        <c:v>Don't believe the buying team will resolve the issue</c:v>
                      </c:pt>
                      <c:pt idx="2">
                        <c:v>Don't consider the issue is serious enough to escalate to the buying team</c:v>
                      </c:pt>
                      <c:pt idx="3">
                        <c:v> Don't have time to undertake the process</c:v>
                      </c:pt>
                      <c:pt idx="4">
                        <c:v>Fear of damaging a commercial relationship</c:v>
                      </c:pt>
                      <c:pt idx="5">
                        <c:v>Fear of retribution</c:v>
                      </c:pt>
                      <c:pt idx="6">
                        <c:v>Other</c:v>
                      </c:pt>
                    </c:strCache>
                  </c:strRef>
                </c:cat>
                <c:val>
                  <c:numRef>
                    <c:extLst xmlns:c15="http://schemas.microsoft.com/office/drawing/2012/chart">
                      <c:ext xmlns:c15="http://schemas.microsoft.com/office/drawing/2012/chart" uri="{02D57815-91ED-43cb-92C2-25804820EDAC}">
                        <c15:formulaRef>
                          <c15:sqref>'Q18 raising issues'!#REF!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7-964F-455F-8B78-68B2AE914C16}"/>
                  </c:ext>
                </c:extLst>
              </c15:ser>
            </c15:filteredBarSeries>
          </c:ext>
        </c:extLst>
      </c:barChart>
      <c:catAx>
        <c:axId val="16156297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5632207"/>
        <c:crosses val="autoZero"/>
        <c:auto val="1"/>
        <c:lblAlgn val="ctr"/>
        <c:lblOffset val="100"/>
        <c:noMultiLvlLbl val="0"/>
      </c:catAx>
      <c:valAx>
        <c:axId val="1615632207"/>
        <c:scaling>
          <c:orientation val="minMax"/>
          <c:max val="0.60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5629711"/>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5"/>
          <c:order val="5"/>
          <c:spPr>
            <a:solidFill>
              <a:schemeClr val="accent6"/>
            </a:solidFill>
            <a:ln>
              <a:noFill/>
            </a:ln>
            <a:effectLst/>
          </c:spPr>
          <c:invertIfNegative val="0"/>
          <c:cat>
            <c:strRef>
              <c:f>'Q26 - Aggregate'!$A$2:$A$13</c:f>
              <c:strCache>
                <c:ptCount val="12"/>
                <c:pt idx="0">
                  <c:v>Not needed at this time</c:v>
                </c:pt>
                <c:pt idx="1">
                  <c:v>No need, believe issues can be resolved without escalation</c:v>
                </c:pt>
                <c:pt idx="2">
                  <c:v>No need, have a good relationship with the signatory</c:v>
                </c:pt>
                <c:pt idx="3">
                  <c:v>No need, consider the Code Arbiter's processes adequate </c:v>
                </c:pt>
                <c:pt idx="4">
                  <c:v>Don't have time to undertake the process</c:v>
                </c:pt>
                <c:pt idx="5">
                  <c:v>Not confident the Independent Reviewer would be able to maintain confidentiality</c:v>
                </c:pt>
                <c:pt idx="6">
                  <c:v>Don't believe the Independent Reviewer's process could provide any benefit to me</c:v>
                </c:pt>
                <c:pt idx="7">
                  <c:v>Fear of retribution or detriment to commerical relationship</c:v>
                </c:pt>
                <c:pt idx="8">
                  <c:v>The issue would have to be serious to justify such a decision</c:v>
                </c:pt>
                <c:pt idx="9">
                  <c:v>Don't understand the process</c:v>
                </c:pt>
                <c:pt idx="10">
                  <c:v>Wasn't aware this was an option</c:v>
                </c:pt>
                <c:pt idx="11">
                  <c:v>Other</c:v>
                </c:pt>
              </c:strCache>
            </c:strRef>
          </c:cat>
          <c:val>
            <c:numRef>
              <c:f>'Q26 - Aggregate'!$G$2:$G$13</c:f>
              <c:numCache>
                <c:formatCode>0%</c:formatCode>
                <c:ptCount val="12"/>
                <c:pt idx="0">
                  <c:v>4.5045045045045043E-2</c:v>
                </c:pt>
                <c:pt idx="1">
                  <c:v>1.2012012012012012E-2</c:v>
                </c:pt>
                <c:pt idx="2">
                  <c:v>7.0070070070070069E-3</c:v>
                </c:pt>
                <c:pt idx="3">
                  <c:v>9.0090090090090089E-3</c:v>
                </c:pt>
                <c:pt idx="4">
                  <c:v>7.0070070070070069E-3</c:v>
                </c:pt>
                <c:pt idx="5">
                  <c:v>3.003003003003003E-3</c:v>
                </c:pt>
                <c:pt idx="6">
                  <c:v>2.002002002002002E-3</c:v>
                </c:pt>
                <c:pt idx="7">
                  <c:v>4.2042042042042045E-2</c:v>
                </c:pt>
                <c:pt idx="8">
                  <c:v>3.003003003003003E-3</c:v>
                </c:pt>
                <c:pt idx="9">
                  <c:v>6.006006006006006E-3</c:v>
                </c:pt>
                <c:pt idx="10">
                  <c:v>2.002002002002002E-3</c:v>
                </c:pt>
                <c:pt idx="11">
                  <c:v>3.003003003003003E-3</c:v>
                </c:pt>
              </c:numCache>
            </c:numRef>
          </c:val>
          <c:extLst>
            <c:ext xmlns:c16="http://schemas.microsoft.com/office/drawing/2014/chart" uri="{C3380CC4-5D6E-409C-BE32-E72D297353CC}">
              <c16:uniqueId val="{00000000-6020-4633-BFF6-4A21B9B7F60E}"/>
            </c:ext>
          </c:extLst>
        </c:ser>
        <c:dLbls>
          <c:showLegendKey val="0"/>
          <c:showVal val="0"/>
          <c:showCatName val="0"/>
          <c:showSerName val="0"/>
          <c:showPercent val="0"/>
          <c:showBubbleSize val="0"/>
        </c:dLbls>
        <c:gapWidth val="182"/>
        <c:axId val="1898804367"/>
        <c:axId val="1898801455"/>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'Q26 - Aggregate'!$A$2:$A$13</c15:sqref>
                        </c15:formulaRef>
                      </c:ext>
                    </c:extLst>
                    <c:strCache>
                      <c:ptCount val="12"/>
                      <c:pt idx="0">
                        <c:v>Not needed at this time</c:v>
                      </c:pt>
                      <c:pt idx="1">
                        <c:v>No need, believe issues can be resolved without escalation</c:v>
                      </c:pt>
                      <c:pt idx="2">
                        <c:v>No need, have a good relationship with the signatory</c:v>
                      </c:pt>
                      <c:pt idx="3">
                        <c:v>No need, consider the Code Arbiter's processes adequate </c:v>
                      </c:pt>
                      <c:pt idx="4">
                        <c:v>Don't have time to undertake the process</c:v>
                      </c:pt>
                      <c:pt idx="5">
                        <c:v>Not confident the Independent Reviewer would be able to maintain confidentiality</c:v>
                      </c:pt>
                      <c:pt idx="6">
                        <c:v>Don't believe the Independent Reviewer's process could provide any benefit to me</c:v>
                      </c:pt>
                      <c:pt idx="7">
                        <c:v>Fear of retribution or detriment to commerical relationship</c:v>
                      </c:pt>
                      <c:pt idx="8">
                        <c:v>The issue would have to be serious to justify such a decision</c:v>
                      </c:pt>
                      <c:pt idx="9">
                        <c:v>Don't understand the process</c:v>
                      </c:pt>
                      <c:pt idx="10">
                        <c:v>Wasn't aware this was an option</c:v>
                      </c:pt>
                      <c:pt idx="11">
                        <c:v>Other</c:v>
                      </c:pt>
                    </c:strCache>
                  </c:strRef>
                </c:cat>
                <c:val>
                  <c:numRef>
                    <c:extLst>
                      <c:ext uri="{02D57815-91ED-43cb-92C2-25804820EDAC}">
                        <c15:formulaRef>
                          <c15:sqref>'Q26 - Aggregate'!$B$2:$B$13</c15:sqref>
                        </c15:formulaRef>
                      </c:ext>
                    </c:extLst>
                    <c:numCache>
                      <c:formatCode>General</c:formatCode>
                      <c:ptCount val="12"/>
                      <c:pt idx="0">
                        <c:v>7</c:v>
                      </c:pt>
                      <c:pt idx="1">
                        <c:v>3</c:v>
                      </c:pt>
                      <c:pt idx="2">
                        <c:v>3</c:v>
                      </c:pt>
                      <c:pt idx="3">
                        <c:v>1</c:v>
                      </c:pt>
                      <c:pt idx="4">
                        <c:v>4</c:v>
                      </c:pt>
                      <c:pt idx="5">
                        <c:v>1</c:v>
                      </c:pt>
                      <c:pt idx="6">
                        <c:v>1</c:v>
                      </c:pt>
                      <c:pt idx="7">
                        <c:v>13</c:v>
                      </c:pt>
                      <c:pt idx="8">
                        <c:v>0</c:v>
                      </c:pt>
                      <c:pt idx="9">
                        <c:v>2</c:v>
                      </c:pt>
                      <c:pt idx="10">
                        <c:v>0</c:v>
                      </c:pt>
                      <c:pt idx="11">
                        <c:v>0</c:v>
                      </c:pt>
                    </c:numCache>
                  </c:numRef>
                </c:val>
                <c:extLst>
                  <c:ext xmlns:c16="http://schemas.microsoft.com/office/drawing/2014/chart" uri="{C3380CC4-5D6E-409C-BE32-E72D297353CC}">
                    <c16:uniqueId val="{00000001-6020-4633-BFF6-4A21B9B7F60E}"/>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'Q26 - Aggregate'!$A$2:$A$13</c15:sqref>
                        </c15:formulaRef>
                      </c:ext>
                    </c:extLst>
                    <c:strCache>
                      <c:ptCount val="12"/>
                      <c:pt idx="0">
                        <c:v>Not needed at this time</c:v>
                      </c:pt>
                      <c:pt idx="1">
                        <c:v>No need, believe issues can be resolved without escalation</c:v>
                      </c:pt>
                      <c:pt idx="2">
                        <c:v>No need, have a good relationship with the signatory</c:v>
                      </c:pt>
                      <c:pt idx="3">
                        <c:v>No need, consider the Code Arbiter's processes adequate </c:v>
                      </c:pt>
                      <c:pt idx="4">
                        <c:v>Don't have time to undertake the process</c:v>
                      </c:pt>
                      <c:pt idx="5">
                        <c:v>Not confident the Independent Reviewer would be able to maintain confidentiality</c:v>
                      </c:pt>
                      <c:pt idx="6">
                        <c:v>Don't believe the Independent Reviewer's process could provide any benefit to me</c:v>
                      </c:pt>
                      <c:pt idx="7">
                        <c:v>Fear of retribution or detriment to commerical relationship</c:v>
                      </c:pt>
                      <c:pt idx="8">
                        <c:v>The issue would have to be serious to justify such a decision</c:v>
                      </c:pt>
                      <c:pt idx="9">
                        <c:v>Don't understand the process</c:v>
                      </c:pt>
                      <c:pt idx="10">
                        <c:v>Wasn't aware this was an option</c:v>
                      </c:pt>
                      <c:pt idx="11">
                        <c:v>Other</c:v>
                      </c:pt>
                    </c:strCache>
                  </c:strRef>
                </c:cat>
                <c:val>
                  <c:numRef>
                    <c:extLst xmlns:c15="http://schemas.microsoft.com/office/drawing/2012/chart">
                      <c:ext xmlns:c15="http://schemas.microsoft.com/office/drawing/2012/chart" uri="{02D57815-91ED-43cb-92C2-25804820EDAC}">
                        <c15:formulaRef>
                          <c15:sqref>'Q26 - Aggregate'!$C$2:$C$13</c15:sqref>
                        </c15:formulaRef>
                      </c:ext>
                    </c:extLst>
                    <c:numCache>
                      <c:formatCode>General</c:formatCode>
                      <c:ptCount val="12"/>
                      <c:pt idx="0">
                        <c:v>13</c:v>
                      </c:pt>
                      <c:pt idx="1">
                        <c:v>3</c:v>
                      </c:pt>
                      <c:pt idx="2">
                        <c:v>2</c:v>
                      </c:pt>
                      <c:pt idx="3">
                        <c:v>4</c:v>
                      </c:pt>
                      <c:pt idx="4">
                        <c:v>2</c:v>
                      </c:pt>
                      <c:pt idx="5">
                        <c:v>1</c:v>
                      </c:pt>
                      <c:pt idx="6">
                        <c:v>0</c:v>
                      </c:pt>
                      <c:pt idx="7">
                        <c:v>14</c:v>
                      </c:pt>
                      <c:pt idx="8">
                        <c:v>2</c:v>
                      </c:pt>
                      <c:pt idx="9">
                        <c:v>2</c:v>
                      </c:pt>
                      <c:pt idx="10">
                        <c:v>1</c:v>
                      </c:pt>
                      <c:pt idx="11">
                        <c:v>1</c:v>
                      </c:pt>
                    </c:numCache>
                  </c:numRef>
                </c:val>
                <c:extLst xmlns:c15="http://schemas.microsoft.com/office/drawing/2012/chart">
                  <c:ext xmlns:c16="http://schemas.microsoft.com/office/drawing/2014/chart" uri="{C3380CC4-5D6E-409C-BE32-E72D297353CC}">
                    <c16:uniqueId val="{00000002-6020-4633-BFF6-4A21B9B7F60E}"/>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'Q26 - Aggregate'!$A$2:$A$13</c15:sqref>
                        </c15:formulaRef>
                      </c:ext>
                    </c:extLst>
                    <c:strCache>
                      <c:ptCount val="12"/>
                      <c:pt idx="0">
                        <c:v>Not needed at this time</c:v>
                      </c:pt>
                      <c:pt idx="1">
                        <c:v>No need, believe issues can be resolved without escalation</c:v>
                      </c:pt>
                      <c:pt idx="2">
                        <c:v>No need, have a good relationship with the signatory</c:v>
                      </c:pt>
                      <c:pt idx="3">
                        <c:v>No need, consider the Code Arbiter's processes adequate </c:v>
                      </c:pt>
                      <c:pt idx="4">
                        <c:v>Don't have time to undertake the process</c:v>
                      </c:pt>
                      <c:pt idx="5">
                        <c:v>Not confident the Independent Reviewer would be able to maintain confidentiality</c:v>
                      </c:pt>
                      <c:pt idx="6">
                        <c:v>Don't believe the Independent Reviewer's process could provide any benefit to me</c:v>
                      </c:pt>
                      <c:pt idx="7">
                        <c:v>Fear of retribution or detriment to commerical relationship</c:v>
                      </c:pt>
                      <c:pt idx="8">
                        <c:v>The issue would have to be serious to justify such a decision</c:v>
                      </c:pt>
                      <c:pt idx="9">
                        <c:v>Don't understand the process</c:v>
                      </c:pt>
                      <c:pt idx="10">
                        <c:v>Wasn't aware this was an option</c:v>
                      </c:pt>
                      <c:pt idx="11">
                        <c:v>Other</c:v>
                      </c:pt>
                    </c:strCache>
                  </c:strRef>
                </c:cat>
                <c:val>
                  <c:numRef>
                    <c:extLst xmlns:c15="http://schemas.microsoft.com/office/drawing/2012/chart">
                      <c:ext xmlns:c15="http://schemas.microsoft.com/office/drawing/2012/chart" uri="{02D57815-91ED-43cb-92C2-25804820EDAC}">
                        <c15:formulaRef>
                          <c15:sqref>'Q26 - Aggregate'!$D$2:$D$13</c15:sqref>
                        </c15:formulaRef>
                      </c:ext>
                    </c:extLst>
                    <c:numCache>
                      <c:formatCode>General</c:formatCode>
                      <c:ptCount val="12"/>
                      <c:pt idx="0">
                        <c:v>10</c:v>
                      </c:pt>
                      <c:pt idx="1">
                        <c:v>6</c:v>
                      </c:pt>
                      <c:pt idx="2">
                        <c:v>2</c:v>
                      </c:pt>
                      <c:pt idx="3">
                        <c:v>1</c:v>
                      </c:pt>
                      <c:pt idx="4">
                        <c:v>1</c:v>
                      </c:pt>
                      <c:pt idx="5">
                        <c:v>0</c:v>
                      </c:pt>
                      <c:pt idx="6">
                        <c:v>1</c:v>
                      </c:pt>
                      <c:pt idx="7">
                        <c:v>7</c:v>
                      </c:pt>
                      <c:pt idx="8">
                        <c:v>0</c:v>
                      </c:pt>
                      <c:pt idx="9">
                        <c:v>2</c:v>
                      </c:pt>
                      <c:pt idx="10">
                        <c:v>0</c:v>
                      </c:pt>
                      <c:pt idx="11">
                        <c:v>1</c:v>
                      </c:pt>
                    </c:numCache>
                  </c:numRef>
                </c:val>
                <c:extLst xmlns:c15="http://schemas.microsoft.com/office/drawing/2012/chart">
                  <c:ext xmlns:c16="http://schemas.microsoft.com/office/drawing/2014/chart" uri="{C3380CC4-5D6E-409C-BE32-E72D297353CC}">
                    <c16:uniqueId val="{00000003-6020-4633-BFF6-4A21B9B7F60E}"/>
                  </c:ext>
                </c:extLst>
              </c15:ser>
            </c15:filteredBarSeries>
            <c15:filteredBarSeries>
              <c15:ser>
                <c:idx val="3"/>
                <c:order val="3"/>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'Q26 - Aggregate'!$A$2:$A$13</c15:sqref>
                        </c15:formulaRef>
                      </c:ext>
                    </c:extLst>
                    <c:strCache>
                      <c:ptCount val="12"/>
                      <c:pt idx="0">
                        <c:v>Not needed at this time</c:v>
                      </c:pt>
                      <c:pt idx="1">
                        <c:v>No need, believe issues can be resolved without escalation</c:v>
                      </c:pt>
                      <c:pt idx="2">
                        <c:v>No need, have a good relationship with the signatory</c:v>
                      </c:pt>
                      <c:pt idx="3">
                        <c:v>No need, consider the Code Arbiter's processes adequate </c:v>
                      </c:pt>
                      <c:pt idx="4">
                        <c:v>Don't have time to undertake the process</c:v>
                      </c:pt>
                      <c:pt idx="5">
                        <c:v>Not confident the Independent Reviewer would be able to maintain confidentiality</c:v>
                      </c:pt>
                      <c:pt idx="6">
                        <c:v>Don't believe the Independent Reviewer's process could provide any benefit to me</c:v>
                      </c:pt>
                      <c:pt idx="7">
                        <c:v>Fear of retribution or detriment to commerical relationship</c:v>
                      </c:pt>
                      <c:pt idx="8">
                        <c:v>The issue would have to be serious to justify such a decision</c:v>
                      </c:pt>
                      <c:pt idx="9">
                        <c:v>Don't understand the process</c:v>
                      </c:pt>
                      <c:pt idx="10">
                        <c:v>Wasn't aware this was an option</c:v>
                      </c:pt>
                      <c:pt idx="11">
                        <c:v>Other</c:v>
                      </c:pt>
                    </c:strCache>
                  </c:strRef>
                </c:cat>
                <c:val>
                  <c:numRef>
                    <c:extLst xmlns:c15="http://schemas.microsoft.com/office/drawing/2012/chart">
                      <c:ext xmlns:c15="http://schemas.microsoft.com/office/drawing/2012/chart" uri="{02D57815-91ED-43cb-92C2-25804820EDAC}">
                        <c15:formulaRef>
                          <c15:sqref>'Q26 - Aggregate'!$E$2:$E$13</c15:sqref>
                        </c15:formulaRef>
                      </c:ext>
                    </c:extLst>
                    <c:numCache>
                      <c:formatCode>General</c:formatCode>
                      <c:ptCount val="12"/>
                      <c:pt idx="0">
                        <c:v>15</c:v>
                      </c:pt>
                      <c:pt idx="1">
                        <c:v>0</c:v>
                      </c:pt>
                      <c:pt idx="2">
                        <c:v>0</c:v>
                      </c:pt>
                      <c:pt idx="3">
                        <c:v>3</c:v>
                      </c:pt>
                      <c:pt idx="4">
                        <c:v>0</c:v>
                      </c:pt>
                      <c:pt idx="5">
                        <c:v>1</c:v>
                      </c:pt>
                      <c:pt idx="6">
                        <c:v>0</c:v>
                      </c:pt>
                      <c:pt idx="7">
                        <c:v>8</c:v>
                      </c:pt>
                      <c:pt idx="8">
                        <c:v>1</c:v>
                      </c:pt>
                      <c:pt idx="9">
                        <c:v>0</c:v>
                      </c:pt>
                      <c:pt idx="10">
                        <c:v>1</c:v>
                      </c:pt>
                      <c:pt idx="11">
                        <c:v>1</c:v>
                      </c:pt>
                    </c:numCache>
                  </c:numRef>
                </c:val>
                <c:extLst xmlns:c15="http://schemas.microsoft.com/office/drawing/2012/chart">
                  <c:ext xmlns:c16="http://schemas.microsoft.com/office/drawing/2014/chart" uri="{C3380CC4-5D6E-409C-BE32-E72D297353CC}">
                    <c16:uniqueId val="{00000004-6020-4633-BFF6-4A21B9B7F60E}"/>
                  </c:ext>
                </c:extLst>
              </c15:ser>
            </c15:filteredBarSeries>
            <c15:filteredBarSeries>
              <c15:ser>
                <c:idx val="4"/>
                <c:order val="4"/>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'Q26 - Aggregate'!$A$2:$A$13</c15:sqref>
                        </c15:formulaRef>
                      </c:ext>
                    </c:extLst>
                    <c:strCache>
                      <c:ptCount val="12"/>
                      <c:pt idx="0">
                        <c:v>Not needed at this time</c:v>
                      </c:pt>
                      <c:pt idx="1">
                        <c:v>No need, believe issues can be resolved without escalation</c:v>
                      </c:pt>
                      <c:pt idx="2">
                        <c:v>No need, have a good relationship with the signatory</c:v>
                      </c:pt>
                      <c:pt idx="3">
                        <c:v>No need, consider the Code Arbiter's processes adequate </c:v>
                      </c:pt>
                      <c:pt idx="4">
                        <c:v>Don't have time to undertake the process</c:v>
                      </c:pt>
                      <c:pt idx="5">
                        <c:v>Not confident the Independent Reviewer would be able to maintain confidentiality</c:v>
                      </c:pt>
                      <c:pt idx="6">
                        <c:v>Don't believe the Independent Reviewer's process could provide any benefit to me</c:v>
                      </c:pt>
                      <c:pt idx="7">
                        <c:v>Fear of retribution or detriment to commerical relationship</c:v>
                      </c:pt>
                      <c:pt idx="8">
                        <c:v>The issue would have to be serious to justify such a decision</c:v>
                      </c:pt>
                      <c:pt idx="9">
                        <c:v>Don't understand the process</c:v>
                      </c:pt>
                      <c:pt idx="10">
                        <c:v>Wasn't aware this was an option</c:v>
                      </c:pt>
                      <c:pt idx="11">
                        <c:v>Other</c:v>
                      </c:pt>
                    </c:strCache>
                  </c:strRef>
                </c:cat>
                <c:val>
                  <c:numRef>
                    <c:extLst xmlns:c15="http://schemas.microsoft.com/office/drawing/2012/chart">
                      <c:ext xmlns:c15="http://schemas.microsoft.com/office/drawing/2012/chart" uri="{02D57815-91ED-43cb-92C2-25804820EDAC}">
                        <c15:formulaRef>
                          <c15:sqref>'Q26 - Aggregate'!$F$2:$F$13</c15:sqref>
                        </c15:formulaRef>
                      </c:ext>
                    </c:extLst>
                    <c:numCache>
                      <c:formatCode>General</c:formatCode>
                      <c:ptCount val="12"/>
                      <c:pt idx="0">
                        <c:v>45</c:v>
                      </c:pt>
                      <c:pt idx="1">
                        <c:v>12</c:v>
                      </c:pt>
                      <c:pt idx="2">
                        <c:v>7</c:v>
                      </c:pt>
                      <c:pt idx="3">
                        <c:v>9</c:v>
                      </c:pt>
                      <c:pt idx="4">
                        <c:v>7</c:v>
                      </c:pt>
                      <c:pt idx="5">
                        <c:v>3</c:v>
                      </c:pt>
                      <c:pt idx="6">
                        <c:v>2</c:v>
                      </c:pt>
                      <c:pt idx="7">
                        <c:v>42</c:v>
                      </c:pt>
                      <c:pt idx="8">
                        <c:v>3</c:v>
                      </c:pt>
                      <c:pt idx="9">
                        <c:v>6</c:v>
                      </c:pt>
                      <c:pt idx="10">
                        <c:v>2</c:v>
                      </c:pt>
                      <c:pt idx="11">
                        <c:v>3</c:v>
                      </c:pt>
                    </c:numCache>
                  </c:numRef>
                </c:val>
                <c:extLst xmlns:c15="http://schemas.microsoft.com/office/drawing/2012/chart">
                  <c:ext xmlns:c16="http://schemas.microsoft.com/office/drawing/2014/chart" uri="{C3380CC4-5D6E-409C-BE32-E72D297353CC}">
                    <c16:uniqueId val="{00000005-6020-4633-BFF6-4A21B9B7F60E}"/>
                  </c:ext>
                </c:extLst>
              </c15:ser>
            </c15:filteredBarSeries>
          </c:ext>
        </c:extLst>
      </c:barChart>
      <c:catAx>
        <c:axId val="18988043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801455"/>
        <c:crosses val="autoZero"/>
        <c:auto val="1"/>
        <c:lblAlgn val="ctr"/>
        <c:lblOffset val="100"/>
        <c:noMultiLvlLbl val="0"/>
      </c:catAx>
      <c:valAx>
        <c:axId val="1898801455"/>
        <c:scaling>
          <c:orientation val="minMax"/>
          <c:max val="5.000000000000001E-2"/>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804367"/>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SY Corporate">
  <a:themeElements>
    <a:clrScheme name="Food and Crocery Code">
      <a:dk1>
        <a:srgbClr val="1C2632"/>
      </a:dk1>
      <a:lt1>
        <a:sysClr val="window" lastClr="FFFFFF"/>
      </a:lt1>
      <a:dk2>
        <a:srgbClr val="0F3A4C"/>
      </a:dk2>
      <a:lt2>
        <a:srgbClr val="D4D4D4"/>
      </a:lt2>
      <a:accent1>
        <a:srgbClr val="1C2632"/>
      </a:accent1>
      <a:accent2>
        <a:srgbClr val="185E7A"/>
      </a:accent2>
      <a:accent3>
        <a:srgbClr val="8FDF25"/>
      </a:accent3>
      <a:accent4>
        <a:srgbClr val="9EC7CF"/>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 xsi:nil="true"/>
    <IconOverlay xmlns="http://schemas.microsoft.com/sharepoint/v4" xsi:nil="true"/>
    <TaxCatchAll xmlns="0f563589-9cf9-4143-b1eb-fb0534803d38">
      <Value>2</Value>
    </TaxCatchAll>
    <TaxKeywordTaxHTField xmlns="0f563589-9cf9-4143-b1eb-fb0534803d38">
      <Terms xmlns="http://schemas.microsoft.com/office/infopath/2007/PartnerControls"/>
    </TaxKeywordTaxHTField>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2022MG-133-98909</_dlc_DocId>
    <_dlc_DocIdUrl xmlns="0f563589-9cf9-4143-b1eb-fb0534803d38">
      <Url>http://tweb/sites/mg/sbccpd/_layouts/15/DocIdRedir.aspx?ID=2022MG-133-98909</Url>
      <Description>2022MG-133-98909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AFF7E1A29DE64F981B4EA50562BA75" ma:contentTypeVersion="51868" ma:contentTypeDescription="" ma:contentTypeScope="" ma:versionID="937c47619c2f9bcf74d416156fa33f90">
  <xsd:schema xmlns:xsd="http://www.w3.org/2001/XMLSchema" xmlns:xs="http://www.w3.org/2001/XMLSchema" xmlns:p="http://schemas.microsoft.com/office/2006/metadata/properties" xmlns:ns1="http://schemas.microsoft.com/sharepoint/v3" xmlns:ns2="0f563589-9cf9-4143-b1eb-fb0534803d38" xmlns:ns3="d4dd4adf-ddb3-46a3-8d7c-fab3fb2a6bc7" xmlns:ns4="http://schemas.microsoft.com/sharepoint/v4" targetNamespace="http://schemas.microsoft.com/office/2006/metadata/properties" ma:root="true" ma:fieldsID="29f171c4881bc829b0501d7ea54a82ac" ns1:_="" ns2:_="" ns3:_="" ns4: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4:IconOverlay" minOccurs="0"/>
                <xsd:element ref="ns1:_dlc_Exempt" minOccurs="0"/>
                <xsd:element ref="ns2:TaxKeywordTaxHTField"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KeywordTaxHTField" ma:index="18" nillable="true" ma:taxonomy="true" ma:internalName="TaxKeywordTaxHTField" ma:taxonomyFieldName="TaxKeyword" ma:displayName="Enterprise Keywords"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19"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6.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Props1.xml><?xml version="1.0" encoding="utf-8"?>
<ds:datastoreItem xmlns:ds="http://schemas.openxmlformats.org/officeDocument/2006/customXml" ds:itemID="{A7E2439A-85C7-415D-B05A-3F0AB186C528}">
  <ds:schemaRefs>
    <ds:schemaRef ds:uri="http://purl.org/dc/dcmitype/"/>
    <ds:schemaRef ds:uri="http://schemas.microsoft.com/office/2006/documentManagement/types"/>
    <ds:schemaRef ds:uri="0f563589-9cf9-4143-b1eb-fb0534803d38"/>
    <ds:schemaRef ds:uri="http://schemas.openxmlformats.org/package/2006/metadata/core-properties"/>
    <ds:schemaRef ds:uri="http://schemas.microsoft.com/office/infopath/2007/PartnerControls"/>
    <ds:schemaRef ds:uri="http://www.w3.org/XML/1998/namespace"/>
    <ds:schemaRef ds:uri="http://purl.org/dc/elements/1.1/"/>
    <ds:schemaRef ds:uri="http://schemas.microsoft.com/sharepoint/v4"/>
    <ds:schemaRef ds:uri="http://purl.org/dc/terms/"/>
    <ds:schemaRef ds:uri="d4dd4adf-ddb3-46a3-8d7c-fab3fb2a6bc7"/>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E2F7C9A0-1446-40AE-9F88-45AB4DEDFC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8EB582-EB55-4D04-96B7-9DC6C91C00C4}">
  <ds:schemaRefs>
    <ds:schemaRef ds:uri="http://schemas.microsoft.com/sharepoint/v3/contenttype/forms"/>
  </ds:schemaRefs>
</ds:datastoreItem>
</file>

<file path=customXml/itemProps4.xml><?xml version="1.0" encoding="utf-8"?>
<ds:datastoreItem xmlns:ds="http://schemas.openxmlformats.org/officeDocument/2006/customXml" ds:itemID="{AFBBBA07-08C7-4009-8ACB-27674FD1C47D}">
  <ds:schemaRefs>
    <ds:schemaRef ds:uri="http://schemas.openxmlformats.org/officeDocument/2006/bibliography"/>
  </ds:schemaRefs>
</ds:datastoreItem>
</file>

<file path=customXml/itemProps5.xml><?xml version="1.0" encoding="utf-8"?>
<ds:datastoreItem xmlns:ds="http://schemas.openxmlformats.org/officeDocument/2006/customXml" ds:itemID="{460E7DE9-7DD5-488C-BB4B-1B6B8CB08A53}">
  <ds:schemaRefs>
    <ds:schemaRef ds:uri="http://schemas.microsoft.com/sharepoint/events"/>
  </ds:schemaRefs>
</ds:datastoreItem>
</file>

<file path=customXml/itemProps6.xml><?xml version="1.0" encoding="utf-8"?>
<ds:datastoreItem xmlns:ds="http://schemas.openxmlformats.org/officeDocument/2006/customXml" ds:itemID="{8AFBDFE9-6A1C-47BB-B4FC-0E7869A1FDF4}">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Basic A4 Report.dotm</Template>
  <TotalTime>4</TotalTime>
  <Pages>22</Pages>
  <Words>5368</Words>
  <Characters>29229</Characters>
  <Application>Microsoft Office Word</Application>
  <DocSecurity>0</DocSecurity>
  <Lines>535</Lines>
  <Paragraphs>246</Paragraphs>
  <ScaleCrop>false</ScaleCrop>
  <HeadingPairs>
    <vt:vector size="2" baseType="variant">
      <vt:variant>
        <vt:lpstr>Title</vt:lpstr>
      </vt:variant>
      <vt:variant>
        <vt:i4>1</vt:i4>
      </vt:variant>
    </vt:vector>
  </HeadingPairs>
  <TitlesOfParts>
    <vt:vector size="1" baseType="lpstr">
      <vt:lpstr>Food and Grocery Code Independent Reviewer Annual Report 2021-22</vt:lpstr>
    </vt:vector>
  </TitlesOfParts>
  <Company/>
  <LinksUpToDate>false</LinksUpToDate>
  <CharactersWithSpaces>34405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Grocery Code Independent Reviewer Annual Report 2021-22</dc:title>
  <dc:creator>Australian Government</dc:creator>
  <cp:keywords/>
  <cp:lastModifiedBy>Hill, Christine</cp:lastModifiedBy>
  <cp:revision>3</cp:revision>
  <cp:lastPrinted>2022-12-15T00:28:00Z</cp:lastPrinted>
  <dcterms:created xsi:type="dcterms:W3CDTF">2022-12-15T01:13:00Z</dcterms:created>
  <dcterms:modified xsi:type="dcterms:W3CDTF">2022-12-15T23:46:00Z</dcterms:modified>
  <cp:category/>
</cp:coreProperties>
</file>